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BB8A22" w14:textId="77777777" w:rsidR="00892936" w:rsidRPr="00FF27F5" w:rsidRDefault="00892936" w:rsidP="00892936">
      <w:pPr>
        <w:pStyle w:val="Titre1"/>
        <w:jc w:val="center"/>
        <w:rPr>
          <w:rFonts w:ascii="Arial" w:hAnsi="Arial" w:cs="Arial"/>
        </w:rPr>
      </w:pPr>
      <w:r w:rsidRPr="00FF27F5">
        <w:rPr>
          <w:rFonts w:ascii="Arial" w:hAnsi="Arial" w:cs="Arial"/>
        </w:rPr>
        <w:t>Annexe à l’acte d’engagement</w:t>
      </w:r>
    </w:p>
    <w:p w14:paraId="30AF037C" w14:textId="77777777" w:rsidR="00892936" w:rsidRPr="00FF27F5" w:rsidRDefault="00892936" w:rsidP="00892936">
      <w:pPr>
        <w:rPr>
          <w:rFonts w:ascii="Arial" w:hAnsi="Arial" w:cs="Arial"/>
          <w:sz w:val="24"/>
          <w:szCs w:val="24"/>
        </w:rPr>
      </w:pPr>
    </w:p>
    <w:p w14:paraId="45256A50" w14:textId="77777777" w:rsidR="00892936" w:rsidRPr="00FF27F5" w:rsidRDefault="00892936" w:rsidP="00892936">
      <w:pPr>
        <w:pBdr>
          <w:top w:val="single" w:sz="4" w:space="1" w:color="0070C0"/>
          <w:left w:val="single" w:sz="4" w:space="4" w:color="0070C0"/>
          <w:bottom w:val="single" w:sz="4" w:space="1" w:color="0070C0"/>
          <w:right w:val="single" w:sz="4" w:space="4" w:color="0070C0"/>
        </w:pBdr>
        <w:jc w:val="center"/>
        <w:rPr>
          <w:rFonts w:ascii="Arial" w:hAnsi="Arial" w:cs="Arial"/>
          <w:b/>
          <w:sz w:val="24"/>
          <w:szCs w:val="24"/>
        </w:rPr>
      </w:pPr>
      <w:r w:rsidRPr="00FF27F5">
        <w:rPr>
          <w:rFonts w:ascii="Arial" w:hAnsi="Arial" w:cs="Arial"/>
          <w:b/>
          <w:caps/>
          <w:color w:val="0070C0"/>
          <w:sz w:val="36"/>
          <w:szCs w:val="36"/>
        </w:rPr>
        <w:t>Déclarations en matière de Prévention du Conflit d'intérêts</w:t>
      </w:r>
    </w:p>
    <w:p w14:paraId="476C56BA" w14:textId="77777777" w:rsidR="00892936" w:rsidRPr="00FF27F5" w:rsidRDefault="00892936" w:rsidP="00892936">
      <w:pPr>
        <w:jc w:val="both"/>
        <w:rPr>
          <w:rFonts w:ascii="Arial" w:hAnsi="Arial" w:cs="Arial"/>
          <w:sz w:val="24"/>
          <w:szCs w:val="24"/>
        </w:rPr>
      </w:pPr>
    </w:p>
    <w:p w14:paraId="22480B58" w14:textId="77777777" w:rsidR="00892936" w:rsidRPr="00FF27F5" w:rsidRDefault="00892936" w:rsidP="00892936">
      <w:pPr>
        <w:jc w:val="both"/>
        <w:rPr>
          <w:rFonts w:ascii="Arial" w:hAnsi="Arial" w:cs="Arial"/>
          <w:sz w:val="24"/>
          <w:szCs w:val="24"/>
        </w:rPr>
      </w:pPr>
      <w:r w:rsidRPr="00FF27F5">
        <w:rPr>
          <w:rFonts w:ascii="Arial" w:hAnsi="Arial" w:cs="Arial"/>
          <w:sz w:val="24"/>
          <w:szCs w:val="24"/>
        </w:rPr>
        <w:t xml:space="preserve">Comme </w:t>
      </w:r>
      <w:r w:rsidR="0088707E" w:rsidRPr="00FF27F5">
        <w:rPr>
          <w:rFonts w:ascii="Arial" w:hAnsi="Arial" w:cs="Arial"/>
          <w:sz w:val="24"/>
          <w:szCs w:val="24"/>
        </w:rPr>
        <w:t>indiqué à l’article V du CCAP</w:t>
      </w:r>
      <w:r w:rsidRPr="00FF27F5">
        <w:rPr>
          <w:rFonts w:ascii="Arial" w:hAnsi="Arial" w:cs="Arial"/>
          <w:sz w:val="24"/>
          <w:szCs w:val="24"/>
        </w:rPr>
        <w:t>, sont détaillées ici les dispositions prises en matière de Prévention du Conflit d'intérêts.</w:t>
      </w:r>
    </w:p>
    <w:p w14:paraId="40E7E66A" w14:textId="77777777" w:rsidR="00892936" w:rsidRPr="00FF27F5" w:rsidRDefault="00892936" w:rsidP="00892936">
      <w:pPr>
        <w:jc w:val="both"/>
        <w:rPr>
          <w:rFonts w:ascii="Arial" w:hAnsi="Arial" w:cs="Arial"/>
          <w:sz w:val="24"/>
          <w:szCs w:val="24"/>
        </w:rPr>
      </w:pPr>
    </w:p>
    <w:p w14:paraId="1B7F5A3C" w14:textId="77777777" w:rsidR="00892936" w:rsidRPr="00FF27F5" w:rsidRDefault="00892936" w:rsidP="00892936">
      <w:pPr>
        <w:jc w:val="both"/>
        <w:rPr>
          <w:rFonts w:ascii="Arial" w:hAnsi="Arial" w:cs="Arial"/>
          <w:sz w:val="24"/>
          <w:szCs w:val="24"/>
        </w:rPr>
      </w:pPr>
      <w:r w:rsidRPr="00FF27F5">
        <w:rPr>
          <w:rFonts w:ascii="Arial" w:hAnsi="Arial" w:cs="Arial"/>
          <w:sz w:val="24"/>
          <w:szCs w:val="24"/>
        </w:rPr>
        <w:t xml:space="preserve">Lorsque l'offre comporte la présence d'un intermédiaire et/ou d'un gestionnaire d’Assurance, celui-ci : </w:t>
      </w:r>
    </w:p>
    <w:p w14:paraId="7FB56E95" w14:textId="77777777" w:rsidR="00892936" w:rsidRPr="00FF27F5" w:rsidRDefault="00892936" w:rsidP="00892936">
      <w:pPr>
        <w:pStyle w:val="Paragraphedeliste"/>
        <w:widowControl w:val="0"/>
        <w:numPr>
          <w:ilvl w:val="0"/>
          <w:numId w:val="5"/>
        </w:numPr>
        <w:overflowPunct w:val="0"/>
        <w:autoSpaceDE w:val="0"/>
        <w:autoSpaceDN w:val="0"/>
        <w:adjustRightInd w:val="0"/>
        <w:jc w:val="both"/>
        <w:rPr>
          <w:rFonts w:ascii="Arial" w:hAnsi="Arial" w:cs="Arial"/>
          <w:sz w:val="24"/>
          <w:szCs w:val="24"/>
        </w:rPr>
      </w:pPr>
      <w:r w:rsidRPr="00FF27F5">
        <w:rPr>
          <w:rFonts w:ascii="Arial" w:hAnsi="Arial" w:cs="Arial"/>
          <w:sz w:val="24"/>
          <w:szCs w:val="24"/>
        </w:rPr>
        <w:t>ne reçoit pas de rémunération (directe ou indirecte, sous quelque forme que ce soit) de la part d’un professionnel du conseil, de l’expertise préalable ou sinistre, de la prévention, de la surveillance, de la protection, de la sûreté, de la sécurité, de la vérification, du contrôle, de la formation, de la certification, de la qualification, de la déconstruction ou construction d’ouvrages ou infrastructures ou de la fabrication ou installation/désinstallation de matériels ou d’installations techniques, avec lesquels il est en contact pour la conduite de sa mission auprès du Pouvoir Adjudicateur.</w:t>
      </w:r>
    </w:p>
    <w:p w14:paraId="6E605292" w14:textId="77777777" w:rsidR="00892936" w:rsidRPr="00FF27F5" w:rsidRDefault="00892936" w:rsidP="00892936">
      <w:pPr>
        <w:pStyle w:val="Paragraphedeliste"/>
        <w:widowControl w:val="0"/>
        <w:numPr>
          <w:ilvl w:val="0"/>
          <w:numId w:val="5"/>
        </w:numPr>
        <w:overflowPunct w:val="0"/>
        <w:autoSpaceDE w:val="0"/>
        <w:autoSpaceDN w:val="0"/>
        <w:adjustRightInd w:val="0"/>
        <w:jc w:val="both"/>
        <w:rPr>
          <w:rFonts w:ascii="Arial" w:hAnsi="Arial" w:cs="Arial"/>
          <w:sz w:val="24"/>
          <w:szCs w:val="24"/>
        </w:rPr>
      </w:pPr>
      <w:r w:rsidRPr="00FF27F5">
        <w:rPr>
          <w:rFonts w:ascii="Arial" w:hAnsi="Arial" w:cs="Arial"/>
          <w:sz w:val="24"/>
          <w:szCs w:val="24"/>
        </w:rPr>
        <w:t>détaille par écrit au Pouvoir Adjudicateur les niveaux, modalités et montants de la rémunération qu’il perçoit du Porteur d’assurance au titre du(des) contrat(s) d’assurance(s) objet(s) de la présente consultation.</w:t>
      </w:r>
    </w:p>
    <w:p w14:paraId="004CA267" w14:textId="77777777" w:rsidR="00892936" w:rsidRPr="00FF27F5" w:rsidRDefault="00892936" w:rsidP="00892936">
      <w:pPr>
        <w:widowControl w:val="0"/>
        <w:overflowPunct w:val="0"/>
        <w:autoSpaceDE w:val="0"/>
        <w:autoSpaceDN w:val="0"/>
        <w:adjustRightInd w:val="0"/>
        <w:jc w:val="both"/>
        <w:rPr>
          <w:rFonts w:ascii="Arial" w:eastAsia="Times New Roman" w:hAnsi="Arial" w:cs="Arial"/>
          <w:kern w:val="28"/>
          <w:sz w:val="24"/>
          <w:szCs w:val="24"/>
          <w:lang w:eastAsia="fr-FR"/>
        </w:rPr>
      </w:pPr>
    </w:p>
    <w:p w14:paraId="16FF0A89" w14:textId="77777777" w:rsidR="00892936" w:rsidRPr="00FF27F5" w:rsidRDefault="00892936" w:rsidP="00892936">
      <w:pPr>
        <w:widowControl w:val="0"/>
        <w:tabs>
          <w:tab w:val="left" w:pos="3969"/>
          <w:tab w:val="left" w:pos="9214"/>
          <w:tab w:val="left" w:pos="9923"/>
        </w:tabs>
        <w:overflowPunct w:val="0"/>
        <w:autoSpaceDE w:val="0"/>
        <w:autoSpaceDN w:val="0"/>
        <w:adjustRightInd w:val="0"/>
        <w:rPr>
          <w:rFonts w:ascii="Arial" w:eastAsia="Times New Roman" w:hAnsi="Arial" w:cs="Arial"/>
          <w:kern w:val="28"/>
          <w:sz w:val="24"/>
          <w:szCs w:val="24"/>
          <w:lang w:eastAsia="fr-FR"/>
        </w:rPr>
      </w:pPr>
      <w:r w:rsidRPr="00FF27F5">
        <w:rPr>
          <w:rFonts w:ascii="Arial" w:eastAsia="Times New Roman" w:hAnsi="Arial" w:cs="Arial"/>
          <w:kern w:val="28"/>
          <w:sz w:val="24"/>
          <w:szCs w:val="24"/>
          <w:lang w:eastAsia="fr-FR"/>
        </w:rPr>
        <w:t xml:space="preserve">Ces dispositions sont acceptées par : </w:t>
      </w:r>
    </w:p>
    <w:p w14:paraId="5143D754" w14:textId="77777777" w:rsidR="00892936" w:rsidRPr="00FF27F5" w:rsidRDefault="00892936" w:rsidP="00892936">
      <w:pPr>
        <w:pStyle w:val="Paragraphedeliste"/>
        <w:widowControl w:val="0"/>
        <w:numPr>
          <w:ilvl w:val="0"/>
          <w:numId w:val="4"/>
        </w:numPr>
        <w:tabs>
          <w:tab w:val="left" w:pos="6663"/>
          <w:tab w:val="left" w:pos="8222"/>
          <w:tab w:val="left" w:pos="9923"/>
        </w:tabs>
        <w:overflowPunct w:val="0"/>
        <w:autoSpaceDE w:val="0"/>
        <w:autoSpaceDN w:val="0"/>
        <w:adjustRightInd w:val="0"/>
        <w:rPr>
          <w:rFonts w:ascii="Arial" w:eastAsia="Times New Roman" w:hAnsi="Arial" w:cs="Arial"/>
          <w:kern w:val="28"/>
          <w:sz w:val="24"/>
          <w:szCs w:val="24"/>
          <w:lang w:eastAsia="fr-FR"/>
        </w:rPr>
      </w:pPr>
      <w:r w:rsidRPr="00FF27F5">
        <w:rPr>
          <w:rFonts w:ascii="Arial" w:eastAsia="Times New Roman" w:hAnsi="Arial" w:cs="Arial"/>
          <w:kern w:val="28"/>
          <w:sz w:val="24"/>
          <w:szCs w:val="24"/>
          <w:lang w:eastAsia="fr-FR"/>
        </w:rPr>
        <w:t>Le Courtier ou à l'Agent d'assurances</w:t>
      </w:r>
      <w:r w:rsidRPr="00FF27F5">
        <w:rPr>
          <w:rFonts w:ascii="Arial" w:eastAsia="Times New Roman" w:hAnsi="Arial" w:cs="Arial"/>
          <w:sz w:val="24"/>
          <w:szCs w:val="24"/>
          <w:lang w:eastAsia="fr-FR"/>
        </w:rPr>
        <w:tab/>
      </w:r>
      <w:r w:rsidRPr="00FF27F5">
        <w:rPr>
          <w:rFonts w:ascii="Arial" w:eastAsia="Calibri" w:hAnsi="Arial" w:cs="Arial"/>
          <w:color w:val="AA0000"/>
        </w:rPr>
        <w:sym w:font="Wingdings" w:char="F071"/>
      </w:r>
      <w:r w:rsidRPr="00FF27F5">
        <w:rPr>
          <w:rFonts w:ascii="Arial" w:eastAsia="Calibri" w:hAnsi="Arial" w:cs="Arial"/>
          <w:sz w:val="24"/>
          <w:szCs w:val="24"/>
        </w:rPr>
        <w:t>Non</w:t>
      </w:r>
      <w:r w:rsidRPr="00FF27F5">
        <w:rPr>
          <w:rFonts w:ascii="Arial" w:eastAsia="Calibri" w:hAnsi="Arial" w:cs="Arial"/>
          <w:sz w:val="24"/>
          <w:szCs w:val="24"/>
        </w:rPr>
        <w:tab/>
      </w:r>
      <w:r w:rsidRPr="00FF27F5">
        <w:rPr>
          <w:rFonts w:ascii="Arial" w:eastAsia="Calibri" w:hAnsi="Arial" w:cs="Arial"/>
          <w:color w:val="AA0000"/>
        </w:rPr>
        <w:sym w:font="Wingdings" w:char="F071"/>
      </w:r>
      <w:r w:rsidRPr="00FF27F5">
        <w:rPr>
          <w:rFonts w:ascii="Arial" w:eastAsia="Calibri" w:hAnsi="Arial" w:cs="Arial"/>
          <w:sz w:val="24"/>
          <w:szCs w:val="24"/>
        </w:rPr>
        <w:t>Oui</w:t>
      </w:r>
    </w:p>
    <w:p w14:paraId="32A88425" w14:textId="77777777" w:rsidR="00892936" w:rsidRPr="00FF27F5" w:rsidRDefault="00892936" w:rsidP="00892936">
      <w:pPr>
        <w:pStyle w:val="Paragraphedeliste"/>
        <w:widowControl w:val="0"/>
        <w:numPr>
          <w:ilvl w:val="0"/>
          <w:numId w:val="4"/>
        </w:numPr>
        <w:tabs>
          <w:tab w:val="left" w:pos="6663"/>
          <w:tab w:val="left" w:pos="8222"/>
          <w:tab w:val="left" w:pos="9923"/>
        </w:tabs>
        <w:overflowPunct w:val="0"/>
        <w:autoSpaceDE w:val="0"/>
        <w:autoSpaceDN w:val="0"/>
        <w:adjustRightInd w:val="0"/>
        <w:rPr>
          <w:rFonts w:ascii="Arial" w:eastAsia="Times New Roman" w:hAnsi="Arial" w:cs="Arial"/>
          <w:kern w:val="28"/>
          <w:sz w:val="24"/>
          <w:szCs w:val="24"/>
          <w:lang w:eastAsia="fr-FR"/>
        </w:rPr>
      </w:pPr>
      <w:r w:rsidRPr="00FF27F5">
        <w:rPr>
          <w:rFonts w:ascii="Arial" w:eastAsia="Times New Roman" w:hAnsi="Arial" w:cs="Arial"/>
          <w:kern w:val="28"/>
          <w:sz w:val="24"/>
          <w:szCs w:val="24"/>
          <w:lang w:eastAsia="fr-FR"/>
        </w:rPr>
        <w:t>Le Gestionnaire</w:t>
      </w:r>
      <w:r w:rsidRPr="00FF27F5">
        <w:rPr>
          <w:rFonts w:ascii="Arial" w:eastAsia="Times New Roman" w:hAnsi="Arial" w:cs="Arial"/>
          <w:sz w:val="24"/>
          <w:szCs w:val="24"/>
          <w:lang w:eastAsia="fr-FR"/>
        </w:rPr>
        <w:tab/>
      </w:r>
      <w:r w:rsidRPr="00FF27F5">
        <w:rPr>
          <w:rFonts w:ascii="Arial" w:eastAsia="Calibri" w:hAnsi="Arial" w:cs="Arial"/>
          <w:color w:val="AA0000"/>
        </w:rPr>
        <w:sym w:font="Wingdings" w:char="F071"/>
      </w:r>
      <w:r w:rsidRPr="00FF27F5">
        <w:rPr>
          <w:rFonts w:ascii="Arial" w:eastAsia="Calibri" w:hAnsi="Arial" w:cs="Arial"/>
          <w:sz w:val="24"/>
          <w:szCs w:val="24"/>
        </w:rPr>
        <w:t>Non</w:t>
      </w:r>
      <w:r w:rsidRPr="00FF27F5">
        <w:rPr>
          <w:rFonts w:ascii="Arial" w:eastAsia="Calibri" w:hAnsi="Arial" w:cs="Arial"/>
          <w:sz w:val="24"/>
          <w:szCs w:val="24"/>
        </w:rPr>
        <w:tab/>
      </w:r>
      <w:r w:rsidRPr="00FF27F5">
        <w:rPr>
          <w:rFonts w:ascii="Arial" w:eastAsia="Calibri" w:hAnsi="Arial" w:cs="Arial"/>
          <w:color w:val="AA0000"/>
        </w:rPr>
        <w:sym w:font="Wingdings" w:char="F071"/>
      </w:r>
      <w:r w:rsidRPr="00FF27F5">
        <w:rPr>
          <w:rFonts w:ascii="Arial" w:eastAsia="Calibri" w:hAnsi="Arial" w:cs="Arial"/>
          <w:sz w:val="24"/>
          <w:szCs w:val="24"/>
        </w:rPr>
        <w:t>Oui</w:t>
      </w:r>
    </w:p>
    <w:p w14:paraId="05E24833" w14:textId="77777777" w:rsidR="00892936" w:rsidRPr="00FF27F5" w:rsidRDefault="00892936" w:rsidP="00892936">
      <w:pPr>
        <w:widowControl w:val="0"/>
        <w:overflowPunct w:val="0"/>
        <w:autoSpaceDE w:val="0"/>
        <w:autoSpaceDN w:val="0"/>
        <w:adjustRightInd w:val="0"/>
        <w:jc w:val="both"/>
        <w:rPr>
          <w:rFonts w:ascii="Arial" w:eastAsia="Times New Roman" w:hAnsi="Arial" w:cs="Arial"/>
          <w:kern w:val="28"/>
          <w:sz w:val="24"/>
          <w:szCs w:val="24"/>
          <w:lang w:eastAsia="fr-FR"/>
        </w:rPr>
      </w:pPr>
    </w:p>
    <w:p w14:paraId="54F88E50" w14:textId="77777777" w:rsidR="00892936" w:rsidRPr="00FF27F5" w:rsidRDefault="00892936" w:rsidP="00892936">
      <w:pPr>
        <w:widowControl w:val="0"/>
        <w:overflowPunct w:val="0"/>
        <w:autoSpaceDE w:val="0"/>
        <w:autoSpaceDN w:val="0"/>
        <w:adjustRightInd w:val="0"/>
        <w:jc w:val="both"/>
        <w:rPr>
          <w:rFonts w:ascii="Arial" w:eastAsia="Times New Roman" w:hAnsi="Arial" w:cs="Arial"/>
          <w:b/>
          <w:i/>
          <w:kern w:val="28"/>
          <w:sz w:val="24"/>
          <w:szCs w:val="24"/>
          <w:lang w:eastAsia="fr-FR"/>
        </w:rPr>
      </w:pPr>
      <w:r w:rsidRPr="00FF27F5">
        <w:rPr>
          <w:rFonts w:ascii="Arial" w:eastAsia="Times New Roman" w:hAnsi="Arial" w:cs="Arial"/>
          <w:kern w:val="28"/>
          <w:sz w:val="24"/>
          <w:szCs w:val="24"/>
          <w:lang w:eastAsia="fr-FR"/>
        </w:rPr>
        <w:t>N.B. :</w:t>
      </w:r>
      <w:r w:rsidRPr="00FF27F5">
        <w:rPr>
          <w:rFonts w:ascii="Arial" w:hAnsi="Arial" w:cs="Arial"/>
          <w:i/>
          <w:sz w:val="24"/>
          <w:szCs w:val="24"/>
        </w:rPr>
        <w:t xml:space="preserve">il est rappelé que ce n'est pas le fait de percevoir une rémunération de la part du Porteur d'assurance </w:t>
      </w:r>
      <w:r w:rsidRPr="00FF27F5">
        <w:rPr>
          <w:rFonts w:ascii="Arial" w:eastAsia="Times New Roman" w:hAnsi="Arial" w:cs="Arial"/>
          <w:i/>
          <w:kern w:val="28"/>
          <w:sz w:val="24"/>
          <w:szCs w:val="24"/>
          <w:lang w:eastAsia="fr-FR"/>
        </w:rPr>
        <w:t>au titre du</w:t>
      </w:r>
      <w:r w:rsidRPr="00FF27F5">
        <w:rPr>
          <w:rFonts w:ascii="Arial" w:eastAsia="Times New Roman" w:hAnsi="Arial" w:cs="Arial"/>
          <w:i/>
          <w:kern w:val="28"/>
          <w:sz w:val="24"/>
          <w:szCs w:val="24"/>
          <w:vertAlign w:val="subscript"/>
          <w:lang w:eastAsia="fr-FR"/>
        </w:rPr>
        <w:t>(des)</w:t>
      </w:r>
      <w:r w:rsidRPr="00FF27F5">
        <w:rPr>
          <w:rFonts w:ascii="Arial" w:eastAsia="Times New Roman" w:hAnsi="Arial" w:cs="Arial"/>
          <w:i/>
          <w:kern w:val="28"/>
          <w:sz w:val="24"/>
          <w:szCs w:val="24"/>
          <w:lang w:eastAsia="fr-FR"/>
        </w:rPr>
        <w:t xml:space="preserve"> contrat</w:t>
      </w:r>
      <w:r w:rsidRPr="00FF27F5">
        <w:rPr>
          <w:rFonts w:ascii="Arial" w:eastAsia="Times New Roman" w:hAnsi="Arial" w:cs="Arial"/>
          <w:i/>
          <w:kern w:val="28"/>
          <w:sz w:val="24"/>
          <w:szCs w:val="24"/>
          <w:vertAlign w:val="subscript"/>
          <w:lang w:eastAsia="fr-FR"/>
        </w:rPr>
        <w:t>(s)</w:t>
      </w:r>
      <w:r w:rsidRPr="00FF27F5">
        <w:rPr>
          <w:rFonts w:ascii="Arial" w:eastAsia="Times New Roman" w:hAnsi="Arial" w:cs="Arial"/>
          <w:i/>
          <w:kern w:val="28"/>
          <w:sz w:val="24"/>
          <w:szCs w:val="24"/>
          <w:lang w:eastAsia="fr-FR"/>
        </w:rPr>
        <w:t xml:space="preserve"> d’assurance</w:t>
      </w:r>
      <w:r w:rsidRPr="00FF27F5">
        <w:rPr>
          <w:rFonts w:ascii="Arial" w:eastAsia="Times New Roman" w:hAnsi="Arial" w:cs="Arial"/>
          <w:i/>
          <w:kern w:val="28"/>
          <w:sz w:val="24"/>
          <w:szCs w:val="24"/>
          <w:vertAlign w:val="subscript"/>
          <w:lang w:eastAsia="fr-FR"/>
        </w:rPr>
        <w:t>(s)</w:t>
      </w:r>
      <w:r w:rsidRPr="00FF27F5">
        <w:rPr>
          <w:rFonts w:ascii="Arial" w:eastAsia="Times New Roman" w:hAnsi="Arial" w:cs="Arial"/>
          <w:i/>
          <w:kern w:val="28"/>
          <w:sz w:val="24"/>
          <w:szCs w:val="24"/>
          <w:lang w:eastAsia="fr-FR"/>
        </w:rPr>
        <w:t xml:space="preserve"> objet</w:t>
      </w:r>
      <w:r w:rsidRPr="00FF27F5">
        <w:rPr>
          <w:rFonts w:ascii="Arial" w:eastAsia="Times New Roman" w:hAnsi="Arial" w:cs="Arial"/>
          <w:i/>
          <w:kern w:val="28"/>
          <w:sz w:val="24"/>
          <w:szCs w:val="24"/>
          <w:vertAlign w:val="subscript"/>
          <w:lang w:eastAsia="fr-FR"/>
        </w:rPr>
        <w:t>(s)</w:t>
      </w:r>
      <w:r w:rsidRPr="00FF27F5">
        <w:rPr>
          <w:rFonts w:ascii="Arial" w:eastAsia="Times New Roman" w:hAnsi="Arial" w:cs="Arial"/>
          <w:i/>
          <w:kern w:val="28"/>
          <w:sz w:val="24"/>
          <w:szCs w:val="24"/>
          <w:lang w:eastAsia="fr-FR"/>
        </w:rPr>
        <w:t xml:space="preserve"> de la présente consultation qui peut être considéré comme portant atteinte à la prévention du conflit d'intérêts, mais simplement l'opacité entretenue par le fait de ne pas le révéler et de ne pas en indiquer les conditions. Dans ce cas, le niveau prévention du conflit d'intérêts sera considéré comme présentant un caractère insuffisant, ce qui entrainera l'application d'une </w:t>
      </w:r>
      <w:r w:rsidRPr="00FF27F5">
        <w:rPr>
          <w:rFonts w:ascii="Arial" w:eastAsia="Times New Roman" w:hAnsi="Arial" w:cs="Arial"/>
          <w:b/>
          <w:i/>
          <w:kern w:val="28"/>
          <w:sz w:val="24"/>
          <w:szCs w:val="24"/>
          <w:lang w:eastAsia="fr-FR"/>
        </w:rPr>
        <w:t>note égale à zéro au titre de l'appréciation des engagements de Prévention du Conflit d'intérêts.</w:t>
      </w:r>
    </w:p>
    <w:p w14:paraId="5E787F55" w14:textId="77777777" w:rsidR="00892936" w:rsidRPr="00FF27F5" w:rsidRDefault="00892936" w:rsidP="00892936">
      <w:pPr>
        <w:widowControl w:val="0"/>
        <w:overflowPunct w:val="0"/>
        <w:autoSpaceDE w:val="0"/>
        <w:autoSpaceDN w:val="0"/>
        <w:adjustRightInd w:val="0"/>
        <w:jc w:val="both"/>
        <w:rPr>
          <w:rFonts w:ascii="Arial" w:eastAsia="Times New Roman" w:hAnsi="Arial" w:cs="Arial"/>
          <w:kern w:val="28"/>
          <w:sz w:val="24"/>
          <w:szCs w:val="24"/>
          <w:lang w:eastAsia="fr-FR"/>
        </w:rPr>
      </w:pPr>
    </w:p>
    <w:p w14:paraId="4FB9CBC6" w14:textId="77777777" w:rsidR="00892936" w:rsidRPr="00FF27F5" w:rsidRDefault="00892936" w:rsidP="00892936">
      <w:pPr>
        <w:jc w:val="both"/>
        <w:rPr>
          <w:rFonts w:ascii="Arial" w:hAnsi="Arial" w:cs="Arial"/>
          <w:i/>
          <w:sz w:val="24"/>
          <w:szCs w:val="24"/>
        </w:rPr>
      </w:pPr>
      <w:r w:rsidRPr="00FF27F5">
        <w:rPr>
          <w:rFonts w:ascii="Arial" w:hAnsi="Arial" w:cs="Arial"/>
          <w:i/>
          <w:sz w:val="24"/>
          <w:szCs w:val="24"/>
        </w:rPr>
        <w:t xml:space="preserve">Le fait de percevoir une rémunération de la part d'un des autres acteurs précités sera évidemment considéré comme générateur de conflit d'intérêts ce qui entrainera l'application d'une </w:t>
      </w:r>
      <w:r w:rsidRPr="00FF27F5">
        <w:rPr>
          <w:rFonts w:ascii="Arial" w:hAnsi="Arial" w:cs="Arial"/>
          <w:b/>
          <w:i/>
          <w:sz w:val="24"/>
          <w:szCs w:val="24"/>
        </w:rPr>
        <w:t>note égale à zéro au titre de l'appréciation des engagements de Prévention du Conflit d'intérêts.</w:t>
      </w:r>
    </w:p>
    <w:p w14:paraId="25CB5A5A" w14:textId="77777777" w:rsidR="00892936" w:rsidRPr="00FF27F5" w:rsidRDefault="00892936" w:rsidP="00892936">
      <w:pPr>
        <w:widowControl w:val="0"/>
        <w:overflowPunct w:val="0"/>
        <w:autoSpaceDE w:val="0"/>
        <w:autoSpaceDN w:val="0"/>
        <w:adjustRightInd w:val="0"/>
        <w:jc w:val="both"/>
        <w:rPr>
          <w:rFonts w:ascii="Arial" w:eastAsia="Times New Roman" w:hAnsi="Arial" w:cs="Arial"/>
          <w:kern w:val="28"/>
          <w:sz w:val="24"/>
          <w:szCs w:val="24"/>
          <w:u w:val="single"/>
          <w:lang w:eastAsia="fr-FR"/>
        </w:rPr>
      </w:pPr>
    </w:p>
    <w:p w14:paraId="0555E5FF" w14:textId="77777777" w:rsidR="00892936" w:rsidRPr="00FF27F5" w:rsidRDefault="00892936" w:rsidP="00892936">
      <w:pPr>
        <w:widowControl w:val="0"/>
        <w:overflowPunct w:val="0"/>
        <w:autoSpaceDE w:val="0"/>
        <w:autoSpaceDN w:val="0"/>
        <w:adjustRightInd w:val="0"/>
        <w:jc w:val="both"/>
        <w:rPr>
          <w:rFonts w:ascii="Arial" w:eastAsia="Times New Roman" w:hAnsi="Arial" w:cs="Arial"/>
          <w:kern w:val="28"/>
          <w:sz w:val="24"/>
          <w:szCs w:val="24"/>
          <w:lang w:eastAsia="fr-FR"/>
        </w:rPr>
      </w:pPr>
      <w:r w:rsidRPr="00FF27F5">
        <w:rPr>
          <w:rFonts w:ascii="Arial" w:eastAsia="Times New Roman" w:hAnsi="Arial" w:cs="Arial"/>
          <w:kern w:val="28"/>
          <w:sz w:val="24"/>
          <w:szCs w:val="24"/>
          <w:u w:val="single"/>
          <w:lang w:eastAsia="fr-FR"/>
        </w:rPr>
        <w:t>Il est ici précisé</w:t>
      </w:r>
      <w:r w:rsidRPr="00FF27F5">
        <w:rPr>
          <w:rFonts w:ascii="Arial" w:eastAsia="Times New Roman" w:hAnsi="Arial" w:cs="Arial"/>
          <w:kern w:val="28"/>
          <w:sz w:val="24"/>
          <w:szCs w:val="24"/>
          <w:lang w:eastAsia="fr-FR"/>
        </w:rPr>
        <w:t xml:space="preserve"> :</w:t>
      </w:r>
      <w:r w:rsidRPr="00FF27F5">
        <w:rPr>
          <w:rFonts w:ascii="Arial" w:hAnsi="Arial" w:cs="Arial"/>
          <w:noProof/>
          <w:sz w:val="24"/>
          <w:szCs w:val="24"/>
          <w:lang w:eastAsia="fr-FR"/>
        </w:rPr>
        <w:t xml:space="preserve"> </w:t>
      </w:r>
    </w:p>
    <w:p w14:paraId="4B651D0F" w14:textId="77777777" w:rsidR="00892936" w:rsidRPr="00FF27F5" w:rsidRDefault="00892936" w:rsidP="00892936">
      <w:pPr>
        <w:tabs>
          <w:tab w:val="left" w:pos="9214"/>
          <w:tab w:val="left" w:pos="9923"/>
        </w:tabs>
        <w:jc w:val="both"/>
        <w:rPr>
          <w:rFonts w:ascii="Arial" w:hAnsi="Arial" w:cs="Arial"/>
          <w:b/>
          <w:sz w:val="24"/>
          <w:szCs w:val="24"/>
        </w:rPr>
      </w:pPr>
      <w:r w:rsidRPr="00FF27F5">
        <w:rPr>
          <w:rFonts w:ascii="Arial" w:hAnsi="Arial" w:cs="Arial"/>
          <w:sz w:val="24"/>
          <w:szCs w:val="24"/>
        </w:rPr>
        <w:t xml:space="preserve">Outre le taux de commissionnement et le montant des commissions indiqués en l'Acte d'Engagement, si, dans le formulaire de </w:t>
      </w:r>
      <w:r w:rsidRPr="00FF27F5">
        <w:rPr>
          <w:rFonts w:ascii="Arial" w:hAnsi="Arial" w:cs="Arial"/>
          <w:b/>
          <w:caps/>
          <w:sz w:val="24"/>
          <w:szCs w:val="24"/>
        </w:rPr>
        <w:t>Déclarations PRÉALABLES DU Candidat intermédiaire D'ASSURANCE</w:t>
      </w:r>
      <w:r w:rsidRPr="00FF27F5">
        <w:rPr>
          <w:rFonts w:ascii="Arial" w:hAnsi="Arial" w:cs="Arial"/>
          <w:sz w:val="24"/>
          <w:szCs w:val="24"/>
        </w:rPr>
        <w:t xml:space="preserve">, vous avez répondu positivement à la question relative à la perception de </w:t>
      </w:r>
      <w:r w:rsidRPr="00FF27F5">
        <w:rPr>
          <w:rFonts w:ascii="Arial" w:hAnsi="Arial" w:cs="Arial"/>
          <w:b/>
          <w:sz w:val="24"/>
          <w:szCs w:val="24"/>
        </w:rPr>
        <w:t>commissions  à des taux privilégiés</w:t>
      </w:r>
      <w:r w:rsidRPr="00FF27F5">
        <w:rPr>
          <w:rFonts w:ascii="Arial" w:hAnsi="Arial" w:cs="Arial"/>
          <w:sz w:val="24"/>
          <w:szCs w:val="24"/>
        </w:rPr>
        <w:t xml:space="preserve"> ou de </w:t>
      </w:r>
      <w:r w:rsidRPr="00FF27F5">
        <w:rPr>
          <w:rFonts w:ascii="Arial" w:hAnsi="Arial" w:cs="Arial"/>
          <w:b/>
          <w:sz w:val="24"/>
          <w:szCs w:val="24"/>
        </w:rPr>
        <w:t>sur-commissions</w:t>
      </w:r>
      <w:r w:rsidRPr="00FF27F5">
        <w:rPr>
          <w:rFonts w:ascii="Arial" w:hAnsi="Arial" w:cs="Arial"/>
          <w:sz w:val="24"/>
          <w:szCs w:val="24"/>
        </w:rPr>
        <w:t xml:space="preserve"> ou de </w:t>
      </w:r>
      <w:r w:rsidRPr="00FF27F5">
        <w:rPr>
          <w:rFonts w:ascii="Arial" w:hAnsi="Arial" w:cs="Arial"/>
          <w:b/>
          <w:sz w:val="24"/>
          <w:szCs w:val="24"/>
        </w:rPr>
        <w:t xml:space="preserve">rétro-commissions </w:t>
      </w:r>
      <w:r w:rsidRPr="00FF27F5">
        <w:rPr>
          <w:rFonts w:ascii="Arial" w:hAnsi="Arial" w:cs="Arial"/>
          <w:sz w:val="24"/>
          <w:szCs w:val="24"/>
        </w:rPr>
        <w:t xml:space="preserve">ou tout autre modalité de </w:t>
      </w:r>
      <w:r w:rsidRPr="00FF27F5">
        <w:rPr>
          <w:rFonts w:ascii="Arial" w:hAnsi="Arial" w:cs="Arial"/>
          <w:b/>
          <w:sz w:val="24"/>
          <w:szCs w:val="24"/>
        </w:rPr>
        <w:t xml:space="preserve">rémunération complémentaire </w:t>
      </w:r>
      <w:r w:rsidRPr="00FF27F5">
        <w:rPr>
          <w:rFonts w:ascii="Arial" w:hAnsi="Arial" w:cs="Arial"/>
          <w:sz w:val="24"/>
          <w:szCs w:val="24"/>
        </w:rPr>
        <w:t xml:space="preserve">issus de l' </w:t>
      </w:r>
      <w:r w:rsidRPr="00FF27F5">
        <w:rPr>
          <w:rFonts w:ascii="Arial" w:hAnsi="Arial" w:cs="Arial"/>
          <w:b/>
          <w:sz w:val="24"/>
          <w:szCs w:val="24"/>
        </w:rPr>
        <w:t xml:space="preserve">accord de collaboration </w:t>
      </w:r>
      <w:r w:rsidRPr="00FF27F5">
        <w:rPr>
          <w:rFonts w:ascii="Arial" w:hAnsi="Arial" w:cs="Arial"/>
          <w:sz w:val="24"/>
          <w:szCs w:val="24"/>
        </w:rPr>
        <w:t>que vous avez</w:t>
      </w:r>
      <w:r w:rsidRPr="00FF27F5">
        <w:rPr>
          <w:rFonts w:ascii="Arial" w:hAnsi="Arial" w:cs="Arial"/>
          <w:b/>
          <w:sz w:val="24"/>
          <w:szCs w:val="24"/>
        </w:rPr>
        <w:t xml:space="preserve"> </w:t>
      </w:r>
      <w:r w:rsidRPr="00FF27F5">
        <w:rPr>
          <w:rFonts w:ascii="Arial" w:hAnsi="Arial" w:cs="Arial"/>
          <w:sz w:val="24"/>
          <w:szCs w:val="24"/>
        </w:rPr>
        <w:t>avec l’</w:t>
      </w:r>
      <w:r w:rsidRPr="00FF27F5">
        <w:rPr>
          <w:rFonts w:ascii="Arial" w:hAnsi="Arial" w:cs="Arial"/>
          <w:i/>
          <w:sz w:val="24"/>
          <w:szCs w:val="24"/>
          <w:vertAlign w:val="subscript"/>
        </w:rPr>
        <w:t>(les)</w:t>
      </w:r>
      <w:r w:rsidRPr="00FF27F5">
        <w:rPr>
          <w:rFonts w:ascii="Arial" w:hAnsi="Arial" w:cs="Arial"/>
          <w:sz w:val="24"/>
          <w:szCs w:val="24"/>
        </w:rPr>
        <w:t xml:space="preserve"> Assureur</w:t>
      </w:r>
      <w:r w:rsidRPr="00FF27F5">
        <w:rPr>
          <w:rFonts w:ascii="Arial" w:hAnsi="Arial" w:cs="Arial"/>
          <w:i/>
          <w:sz w:val="24"/>
          <w:szCs w:val="24"/>
          <w:vertAlign w:val="subscript"/>
        </w:rPr>
        <w:t>(s)</w:t>
      </w:r>
      <w:r w:rsidRPr="00FF27F5">
        <w:rPr>
          <w:rFonts w:ascii="Arial" w:hAnsi="Arial" w:cs="Arial"/>
          <w:sz w:val="24"/>
          <w:szCs w:val="24"/>
        </w:rPr>
        <w:t xml:space="preserve"> auprès de qui vous proposez de souscrire le</w:t>
      </w:r>
      <w:r w:rsidRPr="00FF27F5">
        <w:rPr>
          <w:rFonts w:ascii="Arial" w:hAnsi="Arial" w:cs="Arial"/>
          <w:i/>
          <w:sz w:val="24"/>
          <w:szCs w:val="24"/>
          <w:vertAlign w:val="subscript"/>
        </w:rPr>
        <w:t>(s)</w:t>
      </w:r>
      <w:r w:rsidRPr="00FF27F5">
        <w:rPr>
          <w:rFonts w:ascii="Arial" w:hAnsi="Arial" w:cs="Arial"/>
          <w:sz w:val="24"/>
          <w:szCs w:val="24"/>
        </w:rPr>
        <w:t xml:space="preserve"> contrat</w:t>
      </w:r>
      <w:r w:rsidRPr="00FF27F5">
        <w:rPr>
          <w:rFonts w:ascii="Arial" w:hAnsi="Arial" w:cs="Arial"/>
          <w:i/>
          <w:sz w:val="24"/>
          <w:szCs w:val="24"/>
          <w:vertAlign w:val="subscript"/>
        </w:rPr>
        <w:t>(s)</w:t>
      </w:r>
      <w:r w:rsidRPr="00FF27F5">
        <w:rPr>
          <w:rFonts w:ascii="Arial" w:hAnsi="Arial" w:cs="Arial"/>
          <w:sz w:val="24"/>
          <w:szCs w:val="24"/>
        </w:rPr>
        <w:t xml:space="preserve"> d’assurance</w:t>
      </w:r>
      <w:r w:rsidRPr="00FF27F5">
        <w:rPr>
          <w:rFonts w:ascii="Arial" w:hAnsi="Arial" w:cs="Arial"/>
          <w:i/>
          <w:sz w:val="24"/>
          <w:szCs w:val="24"/>
          <w:vertAlign w:val="subscript"/>
        </w:rPr>
        <w:t>(s)</w:t>
      </w:r>
      <w:r w:rsidRPr="00FF27F5">
        <w:rPr>
          <w:rFonts w:ascii="Arial" w:hAnsi="Arial" w:cs="Arial"/>
          <w:sz w:val="24"/>
          <w:szCs w:val="24"/>
        </w:rPr>
        <w:t xml:space="preserve"> objet</w:t>
      </w:r>
      <w:r w:rsidRPr="00FF27F5">
        <w:rPr>
          <w:rFonts w:ascii="Arial" w:hAnsi="Arial" w:cs="Arial"/>
          <w:i/>
          <w:sz w:val="24"/>
          <w:szCs w:val="24"/>
          <w:vertAlign w:val="subscript"/>
        </w:rPr>
        <w:t>(s)</w:t>
      </w:r>
      <w:r w:rsidRPr="00FF27F5">
        <w:rPr>
          <w:rFonts w:ascii="Arial" w:hAnsi="Arial" w:cs="Arial"/>
          <w:sz w:val="24"/>
          <w:szCs w:val="24"/>
        </w:rPr>
        <w:t xml:space="preserve"> de la consultation, figurant </w:t>
      </w:r>
      <w:r w:rsidRPr="00FF27F5">
        <w:rPr>
          <w:rFonts w:ascii="Arial" w:hAnsi="Arial" w:cs="Arial"/>
          <w:b/>
          <w:sz w:val="24"/>
          <w:szCs w:val="24"/>
        </w:rPr>
        <w:t>merci d'en préciser ici les natures &amp; modalités :</w:t>
      </w:r>
    </w:p>
    <w:p w14:paraId="0118B5D9" w14:textId="77777777" w:rsidR="00892936" w:rsidRPr="00FF27F5" w:rsidRDefault="00892936" w:rsidP="00892936">
      <w:pPr>
        <w:tabs>
          <w:tab w:val="left" w:pos="9214"/>
          <w:tab w:val="left" w:pos="9923"/>
        </w:tabs>
        <w:rPr>
          <w:rFonts w:ascii="Arial" w:hAnsi="Arial" w:cs="Arial"/>
          <w:sz w:val="24"/>
          <w:szCs w:val="24"/>
        </w:rPr>
      </w:pPr>
      <w:bookmarkStart w:id="0" w:name="_GoBack"/>
      <w:bookmarkEnd w:id="0"/>
    </w:p>
    <w:p w14:paraId="2C0500CD" w14:textId="0493AEBA" w:rsidR="00892936" w:rsidRPr="00FF27F5" w:rsidRDefault="00892936" w:rsidP="00892936">
      <w:pPr>
        <w:tabs>
          <w:tab w:val="left" w:pos="3402"/>
          <w:tab w:val="left" w:pos="9214"/>
          <w:tab w:val="left" w:pos="9923"/>
        </w:tabs>
        <w:rPr>
          <w:rFonts w:ascii="Arial" w:hAnsi="Arial" w:cs="Arial"/>
          <w:color w:val="AA0000"/>
          <w:sz w:val="24"/>
          <w:szCs w:val="24"/>
        </w:rPr>
      </w:pPr>
      <w:r w:rsidRPr="00FF27F5">
        <w:rPr>
          <w:rFonts w:ascii="Arial" w:hAnsi="Arial" w:cs="Arial"/>
          <w:color w:val="AA0000"/>
          <w:sz w:val="24"/>
          <w:szCs w:val="24"/>
        </w:rPr>
        <w:t>____________________________________________________________________________</w:t>
      </w:r>
    </w:p>
    <w:p w14:paraId="56FC9070" w14:textId="77777777" w:rsidR="00892936" w:rsidRPr="00FF27F5" w:rsidRDefault="00892936" w:rsidP="00892936">
      <w:pPr>
        <w:tabs>
          <w:tab w:val="left" w:pos="3402"/>
          <w:tab w:val="left" w:pos="9214"/>
          <w:tab w:val="left" w:pos="9923"/>
        </w:tabs>
        <w:rPr>
          <w:rFonts w:ascii="Arial" w:hAnsi="Arial" w:cs="Arial"/>
          <w:color w:val="AA0000"/>
          <w:sz w:val="24"/>
          <w:szCs w:val="24"/>
        </w:rPr>
      </w:pPr>
    </w:p>
    <w:p w14:paraId="323E0778" w14:textId="6E58766D" w:rsidR="00892936" w:rsidRPr="00FF27F5" w:rsidRDefault="00892936" w:rsidP="00892936">
      <w:pPr>
        <w:tabs>
          <w:tab w:val="left" w:pos="3402"/>
          <w:tab w:val="left" w:pos="9214"/>
          <w:tab w:val="left" w:pos="9923"/>
        </w:tabs>
        <w:rPr>
          <w:rFonts w:ascii="Arial" w:hAnsi="Arial" w:cs="Arial"/>
          <w:color w:val="AA0000"/>
          <w:sz w:val="24"/>
          <w:szCs w:val="24"/>
        </w:rPr>
      </w:pPr>
      <w:r w:rsidRPr="00FF27F5">
        <w:rPr>
          <w:rFonts w:ascii="Arial" w:hAnsi="Arial" w:cs="Arial"/>
          <w:color w:val="AA0000"/>
          <w:sz w:val="24"/>
          <w:szCs w:val="24"/>
        </w:rPr>
        <w:t>____________________________________________________________________________</w:t>
      </w:r>
    </w:p>
    <w:p w14:paraId="10B1629C" w14:textId="77777777" w:rsidR="00892936" w:rsidRPr="00FF27F5" w:rsidRDefault="00892936" w:rsidP="00892936">
      <w:pPr>
        <w:tabs>
          <w:tab w:val="left" w:pos="3402"/>
          <w:tab w:val="left" w:pos="9214"/>
          <w:tab w:val="left" w:pos="9923"/>
        </w:tabs>
        <w:rPr>
          <w:rFonts w:ascii="Arial" w:hAnsi="Arial" w:cs="Arial"/>
          <w:color w:val="AA0000"/>
          <w:sz w:val="24"/>
          <w:szCs w:val="24"/>
        </w:rPr>
      </w:pPr>
    </w:p>
    <w:p w14:paraId="0020B040" w14:textId="77777777" w:rsidR="00892936" w:rsidRPr="00FF27F5" w:rsidRDefault="00892936" w:rsidP="00892936">
      <w:pPr>
        <w:rPr>
          <w:rFonts w:ascii="Arial" w:hAnsi="Arial" w:cs="Arial"/>
          <w:sz w:val="24"/>
          <w:szCs w:val="24"/>
        </w:rPr>
      </w:pPr>
      <w:r w:rsidRPr="00FF27F5">
        <w:rPr>
          <w:rFonts w:ascii="Arial" w:hAnsi="Arial" w:cs="Arial"/>
          <w:sz w:val="24"/>
          <w:szCs w:val="24"/>
        </w:rPr>
        <w:br w:type="page"/>
      </w:r>
    </w:p>
    <w:p w14:paraId="011635DC" w14:textId="77777777" w:rsidR="00892936" w:rsidRPr="00FF27F5" w:rsidRDefault="00892936" w:rsidP="00892936">
      <w:pPr>
        <w:pBdr>
          <w:top w:val="single" w:sz="4" w:space="1" w:color="0070C0"/>
          <w:left w:val="single" w:sz="4" w:space="4" w:color="0070C0"/>
          <w:bottom w:val="single" w:sz="4" w:space="1" w:color="0070C0"/>
          <w:right w:val="single" w:sz="4" w:space="4" w:color="0070C0"/>
        </w:pBdr>
        <w:jc w:val="center"/>
        <w:rPr>
          <w:rFonts w:ascii="Arial" w:hAnsi="Arial" w:cs="Arial"/>
          <w:b/>
          <w:caps/>
          <w:color w:val="0070C0"/>
          <w:sz w:val="36"/>
          <w:szCs w:val="36"/>
        </w:rPr>
      </w:pPr>
      <w:r w:rsidRPr="00FF27F5">
        <w:rPr>
          <w:rFonts w:ascii="Arial" w:hAnsi="Arial" w:cs="Arial"/>
          <w:b/>
          <w:caps/>
          <w:color w:val="0070C0"/>
          <w:sz w:val="36"/>
          <w:szCs w:val="36"/>
        </w:rPr>
        <w:lastRenderedPageBreak/>
        <w:t>Déclaration sur l’honneur</w:t>
      </w:r>
    </w:p>
    <w:p w14:paraId="4C1CEBA6" w14:textId="77777777" w:rsidR="00892936" w:rsidRPr="00FF27F5" w:rsidRDefault="00892936" w:rsidP="00892936">
      <w:pPr>
        <w:pBdr>
          <w:top w:val="single" w:sz="4" w:space="1" w:color="0070C0"/>
          <w:left w:val="single" w:sz="4" w:space="4" w:color="0070C0"/>
          <w:bottom w:val="single" w:sz="4" w:space="1" w:color="0070C0"/>
          <w:right w:val="single" w:sz="4" w:space="4" w:color="0070C0"/>
        </w:pBdr>
        <w:jc w:val="center"/>
        <w:rPr>
          <w:rFonts w:ascii="Arial" w:hAnsi="Arial" w:cs="Arial"/>
          <w:b/>
          <w:color w:val="0070C0"/>
          <w:sz w:val="36"/>
          <w:szCs w:val="36"/>
        </w:rPr>
      </w:pPr>
      <w:r w:rsidRPr="00FF27F5">
        <w:rPr>
          <w:rFonts w:ascii="Arial" w:hAnsi="Arial" w:cs="Arial"/>
          <w:b/>
          <w:color w:val="0070C0"/>
          <w:sz w:val="36"/>
          <w:szCs w:val="36"/>
        </w:rPr>
        <w:t xml:space="preserve">(À remplir individuellement par le porteur d'assurance et, le cas échéant, par l'intermédiaire ainsi que par le gestionnaire) </w:t>
      </w:r>
    </w:p>
    <w:p w14:paraId="0C892666" w14:textId="77777777" w:rsidR="00892936" w:rsidRPr="00FF27F5" w:rsidRDefault="00892936" w:rsidP="00892936">
      <w:pPr>
        <w:ind w:left="284"/>
        <w:contextualSpacing/>
        <w:rPr>
          <w:rFonts w:ascii="Arial" w:eastAsia="Times New Roman" w:hAnsi="Arial" w:cs="Arial"/>
          <w:sz w:val="24"/>
          <w:szCs w:val="24"/>
          <w:lang w:eastAsia="fr-FR"/>
        </w:rPr>
      </w:pPr>
    </w:p>
    <w:p w14:paraId="0492BCBF" w14:textId="77777777" w:rsidR="00892936" w:rsidRPr="00FF27F5" w:rsidRDefault="00892936" w:rsidP="00892936">
      <w:pPr>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 xml:space="preserve">Le candidat et son dirigeant déclarent </w:t>
      </w:r>
    </w:p>
    <w:p w14:paraId="0C5FACE1" w14:textId="77777777" w:rsidR="00892936" w:rsidRPr="00FF27F5" w:rsidRDefault="00892936" w:rsidP="00892936">
      <w:pPr>
        <w:ind w:left="284"/>
        <w:contextualSpacing/>
        <w:rPr>
          <w:rFonts w:ascii="Arial" w:eastAsia="Times New Roman" w:hAnsi="Arial" w:cs="Arial"/>
          <w:sz w:val="24"/>
          <w:szCs w:val="24"/>
          <w:lang w:eastAsia="fr-FR"/>
        </w:rPr>
      </w:pPr>
    </w:p>
    <w:p w14:paraId="4D77DDC6" w14:textId="77777777" w:rsidR="00892936" w:rsidRPr="00FF27F5" w:rsidRDefault="00892936" w:rsidP="00892936">
      <w:pPr>
        <w:numPr>
          <w:ilvl w:val="0"/>
          <w:numId w:val="3"/>
        </w:numPr>
        <w:ind w:left="567" w:hanging="283"/>
        <w:contextualSpacing/>
        <w:jc w:val="both"/>
        <w:rPr>
          <w:rFonts w:ascii="Arial" w:eastAsia="Times New Roman" w:hAnsi="Arial" w:cs="Arial"/>
          <w:b/>
          <w:sz w:val="24"/>
          <w:szCs w:val="24"/>
          <w:u w:val="single"/>
          <w:lang w:eastAsia="fr-FR"/>
        </w:rPr>
      </w:pPr>
      <w:r w:rsidRPr="00FF27F5">
        <w:rPr>
          <w:rFonts w:ascii="Arial" w:eastAsia="Times New Roman" w:hAnsi="Arial" w:cs="Arial"/>
          <w:b/>
          <w:sz w:val="24"/>
          <w:szCs w:val="24"/>
          <w:u w:val="single"/>
          <w:lang w:eastAsia="fr-FR"/>
        </w:rPr>
        <w:t>Condamnation définitive</w:t>
      </w:r>
    </w:p>
    <w:p w14:paraId="0A83CAF3"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hAnsi="Arial" w:cs="Arial"/>
          <w:sz w:val="24"/>
          <w:szCs w:val="24"/>
        </w:rPr>
        <w:t xml:space="preserve">ne pas avoir fait l'objet, depuis moins de cinq ans, d'une condamnation définitive pour l'une des infractions prévues aux articles 222-38, 222-40, 225-1, 226-13, 313-1 à 313-3, 314-1 à 314-3, 324-1 à 324-6, 413-9 à 413-12, 421-1 à 421-2-3, au deuxième alinéa de l'article 421-5, à l'article 433-1, au second alinéa de l'article 433-2, au huitième alinéa de l'article 434-9, au second alinéa de l'article 434-9-1, aux articles 435-3, 435-4, 435-9, 435-10, 441-1 à 441-7, 441-9, 445-1 et 450-1 du </w:t>
      </w:r>
      <w:r w:rsidRPr="00FF27F5">
        <w:rPr>
          <w:rFonts w:ascii="Arial" w:hAnsi="Arial" w:cs="Arial"/>
          <w:color w:val="AA0000"/>
          <w:sz w:val="24"/>
          <w:szCs w:val="24"/>
        </w:rPr>
        <w:t>code pénal</w:t>
      </w:r>
      <w:r w:rsidRPr="00FF27F5">
        <w:rPr>
          <w:rFonts w:ascii="Arial" w:hAnsi="Arial" w:cs="Arial"/>
          <w:sz w:val="24"/>
          <w:szCs w:val="24"/>
        </w:rPr>
        <w:t xml:space="preserve">, à l'article 1741 du </w:t>
      </w:r>
      <w:r w:rsidRPr="00FF27F5">
        <w:rPr>
          <w:rFonts w:ascii="Arial" w:hAnsi="Arial" w:cs="Arial"/>
          <w:color w:val="AA0000"/>
          <w:sz w:val="24"/>
          <w:szCs w:val="24"/>
        </w:rPr>
        <w:t>code général des impôts</w:t>
      </w:r>
      <w:r w:rsidRPr="00FF27F5">
        <w:rPr>
          <w:rFonts w:ascii="Arial" w:hAnsi="Arial" w:cs="Arial"/>
          <w:sz w:val="24"/>
          <w:szCs w:val="24"/>
        </w:rPr>
        <w:t xml:space="preserve">, aux articles L. 2339-2 à L. 2339-4, L. 2339-11-1 à L. 2339-11-3 du </w:t>
      </w:r>
      <w:r w:rsidRPr="00FF27F5">
        <w:rPr>
          <w:rFonts w:ascii="Arial" w:hAnsi="Arial" w:cs="Arial"/>
          <w:color w:val="AA0000"/>
          <w:sz w:val="24"/>
          <w:szCs w:val="24"/>
        </w:rPr>
        <w:t>code de la défense</w:t>
      </w:r>
      <w:r w:rsidRPr="00FF27F5">
        <w:rPr>
          <w:rFonts w:ascii="Arial" w:hAnsi="Arial" w:cs="Arial"/>
          <w:sz w:val="24"/>
          <w:szCs w:val="24"/>
        </w:rPr>
        <w:t xml:space="preserve"> et à l’article L. 317-8 du </w:t>
      </w:r>
      <w:r w:rsidRPr="00FF27F5">
        <w:rPr>
          <w:rFonts w:ascii="Arial" w:hAnsi="Arial" w:cs="Arial"/>
          <w:color w:val="AA0000"/>
          <w:sz w:val="24"/>
          <w:szCs w:val="24"/>
        </w:rPr>
        <w:t>code de la sécurité intérieure</w:t>
      </w:r>
      <w:r w:rsidRPr="00FF27F5">
        <w:rPr>
          <w:rFonts w:ascii="Arial" w:hAnsi="Arial" w:cs="Arial"/>
          <w:sz w:val="24"/>
          <w:szCs w:val="24"/>
        </w:rPr>
        <w:t>, ou pour une infraction de même nature dans un autre Etat de l’Union européenne ;</w:t>
      </w:r>
    </w:p>
    <w:p w14:paraId="7D0D93D5"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hAnsi="Arial" w:cs="Arial"/>
          <w:sz w:val="24"/>
          <w:szCs w:val="24"/>
        </w:rPr>
        <w:t xml:space="preserve">ne pas être exclu des marchés publics, à titre de peine principale ou complémentaire prononcée par le juge pénal, sur le fondement des articles 131-10 ou 131-39 du </w:t>
      </w:r>
      <w:r w:rsidRPr="00FF27F5">
        <w:rPr>
          <w:rFonts w:ascii="Arial" w:hAnsi="Arial" w:cs="Arial"/>
          <w:color w:val="AA0000"/>
          <w:sz w:val="24"/>
          <w:szCs w:val="24"/>
        </w:rPr>
        <w:t>code pénal</w:t>
      </w:r>
      <w:r w:rsidRPr="00FF27F5">
        <w:rPr>
          <w:rFonts w:ascii="Arial" w:eastAsia="Times New Roman" w:hAnsi="Arial" w:cs="Arial"/>
          <w:sz w:val="24"/>
          <w:szCs w:val="24"/>
          <w:lang w:eastAsia="fr-FR"/>
        </w:rPr>
        <w:t xml:space="preserve"> ;</w:t>
      </w:r>
    </w:p>
    <w:p w14:paraId="0CED3E21" w14:textId="77777777" w:rsidR="00892936" w:rsidRPr="00FF27F5" w:rsidRDefault="00892936" w:rsidP="00892936">
      <w:pPr>
        <w:jc w:val="both"/>
        <w:rPr>
          <w:rFonts w:ascii="Arial" w:eastAsia="Times New Roman" w:hAnsi="Arial" w:cs="Arial"/>
          <w:sz w:val="24"/>
          <w:szCs w:val="24"/>
          <w:lang w:eastAsia="fr-FR"/>
        </w:rPr>
      </w:pPr>
    </w:p>
    <w:p w14:paraId="04753343" w14:textId="77777777" w:rsidR="00892936" w:rsidRPr="00FF27F5" w:rsidRDefault="00892936" w:rsidP="00892936">
      <w:pPr>
        <w:numPr>
          <w:ilvl w:val="0"/>
          <w:numId w:val="3"/>
        </w:numPr>
        <w:ind w:left="567" w:hanging="283"/>
        <w:contextualSpacing/>
        <w:jc w:val="both"/>
        <w:rPr>
          <w:rFonts w:ascii="Arial" w:eastAsia="Times New Roman" w:hAnsi="Arial" w:cs="Arial"/>
          <w:b/>
          <w:sz w:val="24"/>
          <w:szCs w:val="24"/>
          <w:u w:val="single"/>
          <w:lang w:eastAsia="fr-FR"/>
        </w:rPr>
      </w:pPr>
      <w:r w:rsidRPr="00FF27F5">
        <w:rPr>
          <w:rFonts w:ascii="Arial" w:eastAsia="Times New Roman" w:hAnsi="Arial" w:cs="Arial"/>
          <w:b/>
          <w:sz w:val="24"/>
          <w:szCs w:val="24"/>
          <w:u w:val="single"/>
          <w:lang w:eastAsia="fr-FR"/>
        </w:rPr>
        <w:t>Lutte contre le travail illégal &amp; pour l'égalité professionnelle entre les femmes et les hommes</w:t>
      </w:r>
    </w:p>
    <w:p w14:paraId="1F3C3874" w14:textId="4C998A7E"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hAnsi="Arial" w:cs="Arial"/>
          <w:sz w:val="24"/>
          <w:szCs w:val="24"/>
        </w:rPr>
        <w:t>ne pas avoir fait l'objet, depuis moins de cinq ans, d'une condamnation inscrite au bulletin n° 2 du casier judiciaire pour les infractions mentionnées aux articles L. 8221-1, L. 8221-3, L. 8221-5, L. 8231-1, L. 8241-</w:t>
      </w:r>
      <w:r w:rsidR="00FF27F5" w:rsidRPr="00FF27F5">
        <w:rPr>
          <w:rFonts w:ascii="Arial" w:hAnsi="Arial" w:cs="Arial"/>
          <w:sz w:val="24"/>
          <w:szCs w:val="24"/>
        </w:rPr>
        <w:t>1,</w:t>
      </w:r>
      <w:r w:rsidRPr="00FF27F5">
        <w:rPr>
          <w:rFonts w:ascii="Arial" w:hAnsi="Arial" w:cs="Arial"/>
          <w:sz w:val="24"/>
          <w:szCs w:val="24"/>
        </w:rPr>
        <w:t xml:space="preserve"> L. 8251-1, L. 8251-2 et L. 1146-1 du </w:t>
      </w:r>
      <w:r w:rsidRPr="00FF27F5">
        <w:rPr>
          <w:rFonts w:ascii="Arial" w:hAnsi="Arial" w:cs="Arial"/>
          <w:color w:val="AA0000"/>
          <w:sz w:val="24"/>
          <w:szCs w:val="24"/>
        </w:rPr>
        <w:t>code du travail</w:t>
      </w:r>
      <w:r w:rsidRPr="00FF27F5">
        <w:rPr>
          <w:rFonts w:ascii="Arial" w:hAnsi="Arial" w:cs="Arial"/>
          <w:sz w:val="24"/>
          <w:szCs w:val="24"/>
        </w:rPr>
        <w:t>,</w:t>
      </w:r>
      <w:r w:rsidRPr="00FF27F5">
        <w:rPr>
          <w:rFonts w:ascii="Arial" w:eastAsia="Times New Roman" w:hAnsi="Arial" w:cs="Arial"/>
          <w:sz w:val="24"/>
          <w:szCs w:val="24"/>
          <w:lang w:eastAsia="fr-FR"/>
        </w:rPr>
        <w:t xml:space="preserve"> ou pour des infractions de même nature dans un autre État de l’Union Européenne ;</w:t>
      </w:r>
    </w:p>
    <w:p w14:paraId="644E8CEF"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hAnsi="Arial" w:cs="Arial"/>
          <w:sz w:val="24"/>
          <w:szCs w:val="24"/>
        </w:rPr>
        <w:t xml:space="preserve">pour les contrats administratifs, ne pas faire l’objet d’une mesure d’exclusion ordonnée par le préfet, en application des articles L. 8272-4, R. 8272-10 et R. 8272-11 du </w:t>
      </w:r>
      <w:r w:rsidRPr="00FF27F5">
        <w:rPr>
          <w:rFonts w:ascii="Arial" w:hAnsi="Arial" w:cs="Arial"/>
          <w:color w:val="AA0000"/>
          <w:sz w:val="24"/>
          <w:szCs w:val="24"/>
        </w:rPr>
        <w:t>code du travail</w:t>
      </w:r>
      <w:r w:rsidRPr="00FF27F5">
        <w:rPr>
          <w:rFonts w:ascii="Arial" w:eastAsia="Times New Roman" w:hAnsi="Arial" w:cs="Arial"/>
          <w:sz w:val="24"/>
          <w:szCs w:val="24"/>
          <w:lang w:eastAsia="fr-FR"/>
        </w:rPr>
        <w:t xml:space="preserve"> ;</w:t>
      </w:r>
    </w:p>
    <w:p w14:paraId="3481A203"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 xml:space="preserve">avoir, au 31 décembre de l’année précédant celle au cours de laquelle a lieu le lancement de la consultation, mis en œuvre l’obligation de négociation prévue à l’article L. 2242-5 du </w:t>
      </w:r>
      <w:r w:rsidRPr="00FF27F5">
        <w:rPr>
          <w:rFonts w:ascii="Arial" w:eastAsia="Times New Roman" w:hAnsi="Arial" w:cs="Arial"/>
          <w:bCs/>
          <w:color w:val="AA0000"/>
          <w:sz w:val="24"/>
          <w:szCs w:val="24"/>
          <w:lang w:eastAsia="fr-FR"/>
        </w:rPr>
        <w:t>code du travail</w:t>
      </w:r>
      <w:r w:rsidRPr="00FF27F5">
        <w:rPr>
          <w:rFonts w:ascii="Arial" w:eastAsia="Times New Roman" w:hAnsi="Arial" w:cs="Arial"/>
          <w:sz w:val="24"/>
          <w:szCs w:val="24"/>
          <w:lang w:eastAsia="fr-FR"/>
        </w:rPr>
        <w:t xml:space="preserve"> ou, à défaut, avoir réalisé ou engagé la régularisation de cette situation à la date de la soumission ;</w:t>
      </w:r>
    </w:p>
    <w:p w14:paraId="6C312A39" w14:textId="77777777" w:rsidR="00892936" w:rsidRPr="00FF27F5" w:rsidRDefault="00892936" w:rsidP="00892936">
      <w:pPr>
        <w:jc w:val="both"/>
        <w:rPr>
          <w:rFonts w:ascii="Arial" w:eastAsia="Times New Roman" w:hAnsi="Arial" w:cs="Arial"/>
          <w:sz w:val="24"/>
          <w:szCs w:val="24"/>
          <w:lang w:eastAsia="fr-FR"/>
        </w:rPr>
      </w:pPr>
    </w:p>
    <w:p w14:paraId="352DC472" w14:textId="77777777" w:rsidR="00892936" w:rsidRPr="00FF27F5" w:rsidRDefault="00892936" w:rsidP="00892936">
      <w:pPr>
        <w:numPr>
          <w:ilvl w:val="0"/>
          <w:numId w:val="3"/>
        </w:numPr>
        <w:ind w:left="567" w:hanging="283"/>
        <w:contextualSpacing/>
        <w:jc w:val="both"/>
        <w:rPr>
          <w:rFonts w:ascii="Arial" w:eastAsia="Times New Roman" w:hAnsi="Arial" w:cs="Arial"/>
          <w:b/>
          <w:sz w:val="24"/>
          <w:szCs w:val="24"/>
          <w:u w:val="single"/>
          <w:lang w:eastAsia="fr-FR"/>
        </w:rPr>
      </w:pPr>
      <w:r w:rsidRPr="00FF27F5">
        <w:rPr>
          <w:rFonts w:ascii="Arial" w:eastAsia="Times New Roman" w:hAnsi="Arial" w:cs="Arial"/>
          <w:b/>
          <w:sz w:val="24"/>
          <w:szCs w:val="24"/>
          <w:u w:val="single"/>
          <w:lang w:eastAsia="fr-FR"/>
        </w:rPr>
        <w:t>Obligation d'emploi des travailleurs handicapés ou assimilés</w:t>
      </w:r>
    </w:p>
    <w:p w14:paraId="37D60715"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 xml:space="preserve">pour les marchés publics et accords-cadres soumis au code des marchés publics, être en règle, au cours de l'année précédant celle au cours de laquelle a lieu le lancement de la consultation, au regard des articles L. 5212-1 à L. 5212-11 du code du travail concernant l’emploi des </w:t>
      </w:r>
      <w:r w:rsidRPr="00FF27F5">
        <w:rPr>
          <w:rFonts w:ascii="Arial" w:eastAsia="Times New Roman" w:hAnsi="Arial" w:cs="Arial"/>
          <w:bCs/>
          <w:color w:val="AA0000"/>
          <w:sz w:val="24"/>
          <w:szCs w:val="24"/>
          <w:lang w:eastAsia="fr-FR"/>
        </w:rPr>
        <w:t>travailleurs handicapés</w:t>
      </w:r>
      <w:r w:rsidRPr="00FF27F5">
        <w:rPr>
          <w:rFonts w:ascii="Arial" w:eastAsia="Times New Roman" w:hAnsi="Arial" w:cs="Arial"/>
          <w:sz w:val="24"/>
          <w:szCs w:val="24"/>
          <w:lang w:eastAsia="fr-FR"/>
        </w:rPr>
        <w:t xml:space="preserve"> ;</w:t>
      </w:r>
    </w:p>
    <w:p w14:paraId="28DA76EA" w14:textId="77777777" w:rsidR="00892936" w:rsidRPr="00FF27F5" w:rsidRDefault="00892936" w:rsidP="00892936">
      <w:pPr>
        <w:jc w:val="both"/>
        <w:rPr>
          <w:rFonts w:ascii="Arial" w:eastAsia="Times New Roman" w:hAnsi="Arial" w:cs="Arial"/>
          <w:sz w:val="24"/>
          <w:szCs w:val="24"/>
          <w:lang w:eastAsia="fr-FR"/>
        </w:rPr>
      </w:pPr>
    </w:p>
    <w:p w14:paraId="6010B105" w14:textId="77777777" w:rsidR="00892936" w:rsidRPr="00FF27F5" w:rsidRDefault="00892936" w:rsidP="00892936">
      <w:pPr>
        <w:numPr>
          <w:ilvl w:val="0"/>
          <w:numId w:val="3"/>
        </w:numPr>
        <w:ind w:left="567" w:hanging="283"/>
        <w:contextualSpacing/>
        <w:jc w:val="both"/>
        <w:rPr>
          <w:rFonts w:ascii="Arial" w:eastAsia="Times New Roman" w:hAnsi="Arial" w:cs="Arial"/>
          <w:b/>
          <w:sz w:val="24"/>
          <w:szCs w:val="24"/>
          <w:u w:val="single"/>
          <w:lang w:eastAsia="fr-FR"/>
        </w:rPr>
      </w:pPr>
      <w:r w:rsidRPr="00FF27F5">
        <w:rPr>
          <w:rFonts w:ascii="Arial" w:eastAsia="Times New Roman" w:hAnsi="Arial" w:cs="Arial"/>
          <w:b/>
          <w:sz w:val="24"/>
          <w:szCs w:val="24"/>
          <w:u w:val="single"/>
          <w:lang w:eastAsia="fr-FR"/>
        </w:rPr>
        <w:t>Procédures collectives &amp; individuelle</w:t>
      </w:r>
    </w:p>
    <w:p w14:paraId="7B63E7A0"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 xml:space="preserve">ne pas être soumis à </w:t>
      </w:r>
    </w:p>
    <w:p w14:paraId="42B9EB06" w14:textId="77777777" w:rsidR="00892936" w:rsidRPr="00FF27F5" w:rsidRDefault="00892936" w:rsidP="00892936">
      <w:pPr>
        <w:numPr>
          <w:ilvl w:val="0"/>
          <w:numId w:val="2"/>
        </w:numPr>
        <w:ind w:left="1134" w:hanging="284"/>
        <w:contextualSpacing/>
        <w:jc w:val="both"/>
        <w:rPr>
          <w:rFonts w:ascii="Arial" w:eastAsia="Times New Roman" w:hAnsi="Arial" w:cs="Arial"/>
          <w:sz w:val="24"/>
          <w:szCs w:val="24"/>
          <w:lang w:eastAsia="fr-FR"/>
        </w:rPr>
      </w:pPr>
      <w:r w:rsidRPr="00FF27F5">
        <w:rPr>
          <w:rFonts w:ascii="Arial" w:eastAsia="Times New Roman" w:hAnsi="Arial" w:cs="Arial"/>
          <w:bCs/>
          <w:color w:val="AA0000"/>
          <w:sz w:val="24"/>
          <w:szCs w:val="24"/>
          <w:lang w:eastAsia="fr-FR"/>
        </w:rPr>
        <w:t>Mandat Ad Hoc</w:t>
      </w:r>
      <w:r w:rsidRPr="00FF27F5">
        <w:rPr>
          <w:rFonts w:ascii="Arial" w:eastAsia="Times New Roman" w:hAnsi="Arial" w:cs="Arial"/>
          <w:sz w:val="24"/>
          <w:szCs w:val="24"/>
          <w:lang w:eastAsia="fr-FR"/>
        </w:rPr>
        <w:t xml:space="preserve"> prévue aux articles L.611-3 et R.611-18 à R.611-20 du Code de commerce, </w:t>
      </w:r>
    </w:p>
    <w:p w14:paraId="717A0F6E" w14:textId="77777777" w:rsidR="00892936" w:rsidRPr="00FF27F5" w:rsidRDefault="00892936" w:rsidP="00892936">
      <w:pPr>
        <w:numPr>
          <w:ilvl w:val="0"/>
          <w:numId w:val="2"/>
        </w:numPr>
        <w:ind w:left="1134" w:hanging="284"/>
        <w:contextualSpacing/>
        <w:jc w:val="both"/>
        <w:rPr>
          <w:rFonts w:ascii="Arial" w:eastAsia="Times New Roman" w:hAnsi="Arial" w:cs="Arial"/>
          <w:sz w:val="24"/>
          <w:szCs w:val="24"/>
          <w:lang w:eastAsia="fr-FR"/>
        </w:rPr>
      </w:pPr>
      <w:r w:rsidRPr="00FF27F5">
        <w:rPr>
          <w:rFonts w:ascii="Arial" w:eastAsia="Times New Roman" w:hAnsi="Arial" w:cs="Arial"/>
          <w:bCs/>
          <w:color w:val="AA0000"/>
          <w:sz w:val="24"/>
          <w:szCs w:val="24"/>
          <w:lang w:eastAsia="fr-FR"/>
        </w:rPr>
        <w:t>Procédure de Conciliation</w:t>
      </w:r>
      <w:r w:rsidRPr="00FF27F5">
        <w:rPr>
          <w:rFonts w:ascii="Arial" w:eastAsia="Times New Roman" w:hAnsi="Arial" w:cs="Arial"/>
          <w:sz w:val="24"/>
          <w:szCs w:val="24"/>
          <w:lang w:eastAsia="fr-FR"/>
        </w:rPr>
        <w:t xml:space="preserve"> prévue aux articles L.611-4 à L.611-15, R.611-22 à R.611-46 du Code de commerce,</w:t>
      </w:r>
    </w:p>
    <w:p w14:paraId="72AEEF63" w14:textId="77777777" w:rsidR="00892936" w:rsidRPr="00FF27F5" w:rsidRDefault="00892936" w:rsidP="00892936">
      <w:pPr>
        <w:numPr>
          <w:ilvl w:val="0"/>
          <w:numId w:val="2"/>
        </w:numPr>
        <w:ind w:left="1134" w:hanging="284"/>
        <w:contextualSpacing/>
        <w:jc w:val="both"/>
        <w:rPr>
          <w:rFonts w:ascii="Arial" w:eastAsia="Times New Roman" w:hAnsi="Arial" w:cs="Arial"/>
          <w:sz w:val="24"/>
          <w:szCs w:val="24"/>
          <w:lang w:eastAsia="fr-FR"/>
        </w:rPr>
      </w:pPr>
      <w:r w:rsidRPr="00FF27F5">
        <w:rPr>
          <w:rFonts w:ascii="Arial" w:eastAsia="Times New Roman" w:hAnsi="Arial" w:cs="Arial"/>
          <w:bCs/>
          <w:color w:val="AA0000"/>
          <w:sz w:val="24"/>
          <w:szCs w:val="24"/>
          <w:lang w:eastAsia="fr-FR"/>
        </w:rPr>
        <w:t>Procédure de Sauvegarde</w:t>
      </w:r>
      <w:r w:rsidRPr="00FF27F5">
        <w:rPr>
          <w:rFonts w:ascii="Arial" w:eastAsia="Times New Roman" w:hAnsi="Arial" w:cs="Arial"/>
          <w:sz w:val="24"/>
          <w:szCs w:val="24"/>
          <w:lang w:eastAsia="fr-FR"/>
        </w:rPr>
        <w:t xml:space="preserve"> prévue à l'article L.620-1 du Code de commerce du Code de commerce,</w:t>
      </w:r>
    </w:p>
    <w:p w14:paraId="3C228FB1" w14:textId="77777777" w:rsidR="00892936" w:rsidRPr="00FF27F5" w:rsidRDefault="00892936" w:rsidP="00892936">
      <w:pPr>
        <w:numPr>
          <w:ilvl w:val="0"/>
          <w:numId w:val="2"/>
        </w:numPr>
        <w:ind w:left="1134" w:hanging="284"/>
        <w:contextualSpacing/>
        <w:jc w:val="both"/>
        <w:rPr>
          <w:rFonts w:ascii="Arial" w:eastAsia="Times New Roman" w:hAnsi="Arial" w:cs="Arial"/>
          <w:sz w:val="24"/>
          <w:szCs w:val="24"/>
          <w:lang w:eastAsia="fr-FR"/>
        </w:rPr>
      </w:pPr>
      <w:r w:rsidRPr="00FF27F5">
        <w:rPr>
          <w:rFonts w:ascii="Arial" w:eastAsia="Times New Roman" w:hAnsi="Arial" w:cs="Arial"/>
          <w:bCs/>
          <w:color w:val="AA0000"/>
          <w:sz w:val="24"/>
          <w:szCs w:val="24"/>
          <w:lang w:eastAsia="fr-FR"/>
        </w:rPr>
        <w:t>Redressement Judiciaire</w:t>
      </w:r>
      <w:r w:rsidRPr="00FF27F5">
        <w:rPr>
          <w:rFonts w:ascii="Arial" w:eastAsia="Times New Roman" w:hAnsi="Arial" w:cs="Arial"/>
          <w:sz w:val="24"/>
          <w:szCs w:val="24"/>
          <w:lang w:eastAsia="fr-FR"/>
        </w:rPr>
        <w:t xml:space="preserve"> instituée par l'article L.631-1 du code de commerce, ni justifier d’une habilitation à poursuivre ses activités pendant la durée prévisible d'exécution du marché public</w:t>
      </w:r>
    </w:p>
    <w:p w14:paraId="14EF5457" w14:textId="77777777" w:rsidR="00892936" w:rsidRPr="00FF27F5" w:rsidRDefault="00892936" w:rsidP="00892936">
      <w:pPr>
        <w:numPr>
          <w:ilvl w:val="0"/>
          <w:numId w:val="2"/>
        </w:numPr>
        <w:ind w:left="1134" w:hanging="284"/>
        <w:contextualSpacing/>
        <w:jc w:val="both"/>
        <w:rPr>
          <w:rFonts w:ascii="Arial" w:eastAsia="Times New Roman" w:hAnsi="Arial" w:cs="Arial"/>
          <w:sz w:val="24"/>
          <w:szCs w:val="24"/>
          <w:lang w:eastAsia="fr-FR"/>
        </w:rPr>
      </w:pPr>
      <w:r w:rsidRPr="00FF27F5">
        <w:rPr>
          <w:rFonts w:ascii="Arial" w:eastAsia="Times New Roman" w:hAnsi="Arial" w:cs="Arial"/>
          <w:bCs/>
          <w:color w:val="AA0000"/>
          <w:sz w:val="24"/>
          <w:szCs w:val="24"/>
          <w:lang w:eastAsia="fr-FR"/>
        </w:rPr>
        <w:lastRenderedPageBreak/>
        <w:t>Liquidation Judiciaire</w:t>
      </w:r>
      <w:r w:rsidRPr="00FF27F5">
        <w:rPr>
          <w:rFonts w:ascii="Arial" w:eastAsia="Times New Roman" w:hAnsi="Arial" w:cs="Arial"/>
          <w:sz w:val="24"/>
          <w:szCs w:val="24"/>
          <w:lang w:eastAsia="fr-FR"/>
        </w:rPr>
        <w:t xml:space="preserve"> prévue à l’article L.640-1 du code de commerce,</w:t>
      </w:r>
    </w:p>
    <w:p w14:paraId="3C835BAE"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ni être en état de</w:t>
      </w:r>
      <w:r w:rsidRPr="00FF27F5">
        <w:rPr>
          <w:rFonts w:ascii="Arial" w:eastAsia="Times New Roman" w:hAnsi="Arial" w:cs="Arial"/>
          <w:bCs/>
          <w:color w:val="AA0000"/>
          <w:sz w:val="24"/>
          <w:szCs w:val="24"/>
          <w:lang w:eastAsia="fr-FR"/>
        </w:rPr>
        <w:t xml:space="preserve"> Faillite Personnelle</w:t>
      </w:r>
      <w:r w:rsidRPr="00FF27F5">
        <w:rPr>
          <w:rFonts w:ascii="Arial" w:eastAsia="Times New Roman" w:hAnsi="Arial" w:cs="Arial"/>
          <w:sz w:val="24"/>
          <w:szCs w:val="24"/>
          <w:lang w:eastAsia="fr-FR"/>
        </w:rPr>
        <w:t xml:space="preserve"> en application des articles L.653-1 à L.653-8 du même code, </w:t>
      </w:r>
    </w:p>
    <w:p w14:paraId="16610665"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et ne pas faire l’objet d’une procédure équivalente régie par un droit étranger ou en voie de l’être ;</w:t>
      </w:r>
    </w:p>
    <w:p w14:paraId="233EFE8D" w14:textId="77777777" w:rsidR="00892936" w:rsidRPr="00FF27F5" w:rsidRDefault="00892936" w:rsidP="00892936">
      <w:pPr>
        <w:jc w:val="both"/>
        <w:rPr>
          <w:rFonts w:ascii="Arial" w:eastAsia="Times New Roman" w:hAnsi="Arial" w:cs="Arial"/>
          <w:sz w:val="24"/>
          <w:szCs w:val="24"/>
          <w:lang w:eastAsia="fr-FR"/>
        </w:rPr>
      </w:pPr>
    </w:p>
    <w:p w14:paraId="42B820FE" w14:textId="77777777" w:rsidR="00892936" w:rsidRPr="00FF27F5" w:rsidRDefault="00892936" w:rsidP="00892936">
      <w:pPr>
        <w:numPr>
          <w:ilvl w:val="0"/>
          <w:numId w:val="3"/>
        </w:numPr>
        <w:ind w:left="567" w:hanging="283"/>
        <w:contextualSpacing/>
        <w:jc w:val="both"/>
        <w:rPr>
          <w:rFonts w:ascii="Arial" w:eastAsia="Times New Roman" w:hAnsi="Arial" w:cs="Arial"/>
          <w:b/>
          <w:sz w:val="24"/>
          <w:szCs w:val="24"/>
          <w:u w:val="single"/>
          <w:lang w:eastAsia="fr-FR"/>
        </w:rPr>
      </w:pPr>
      <w:r w:rsidRPr="00FF27F5">
        <w:rPr>
          <w:rFonts w:ascii="Arial" w:eastAsia="Times New Roman" w:hAnsi="Arial" w:cs="Arial"/>
          <w:b/>
          <w:sz w:val="24"/>
          <w:szCs w:val="24"/>
          <w:u w:val="single"/>
          <w:lang w:eastAsia="fr-FR"/>
        </w:rPr>
        <w:t>Situation fiscale et sociale</w:t>
      </w:r>
    </w:p>
    <w:p w14:paraId="2CD68BD6" w14:textId="77777777" w:rsidR="00892936" w:rsidRPr="00FF27F5" w:rsidRDefault="00892936" w:rsidP="00892936">
      <w:pPr>
        <w:ind w:left="567"/>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 xml:space="preserve">avoir, au 31 décembre de l'année précédant celle au cours de laquelle a lieu le lancement de la consultation, souscrit les </w:t>
      </w:r>
      <w:r w:rsidRPr="00FF27F5">
        <w:rPr>
          <w:rFonts w:ascii="Arial" w:eastAsia="Times New Roman" w:hAnsi="Arial" w:cs="Arial"/>
          <w:bCs/>
          <w:color w:val="AA0000"/>
          <w:sz w:val="24"/>
          <w:szCs w:val="24"/>
          <w:lang w:eastAsia="fr-FR"/>
        </w:rPr>
        <w:t>déclarations</w:t>
      </w:r>
      <w:r w:rsidRPr="00FF27F5">
        <w:rPr>
          <w:rFonts w:ascii="Arial" w:eastAsia="Times New Roman" w:hAnsi="Arial" w:cs="Arial"/>
          <w:sz w:val="24"/>
          <w:szCs w:val="24"/>
          <w:lang w:eastAsia="fr-FR"/>
        </w:rPr>
        <w:t xml:space="preserve"> lui incombant en matière </w:t>
      </w:r>
      <w:r w:rsidRPr="00FF27F5">
        <w:rPr>
          <w:rFonts w:ascii="Arial" w:eastAsia="Times New Roman" w:hAnsi="Arial" w:cs="Arial"/>
          <w:bCs/>
          <w:color w:val="AA0000"/>
          <w:sz w:val="24"/>
          <w:szCs w:val="24"/>
          <w:lang w:eastAsia="fr-FR"/>
        </w:rPr>
        <w:t>fiscale &amp; sociale</w:t>
      </w:r>
      <w:r w:rsidRPr="00FF27F5">
        <w:rPr>
          <w:rFonts w:ascii="Arial" w:eastAsia="Times New Roman" w:hAnsi="Arial" w:cs="Arial"/>
          <w:sz w:val="24"/>
          <w:szCs w:val="24"/>
          <w:lang w:eastAsia="fr-FR"/>
        </w:rPr>
        <w:t xml:space="preserve"> et acquitté les </w:t>
      </w:r>
      <w:r w:rsidRPr="00FF27F5">
        <w:rPr>
          <w:rFonts w:ascii="Arial" w:eastAsia="Times New Roman" w:hAnsi="Arial" w:cs="Arial"/>
          <w:bCs/>
          <w:color w:val="AA0000"/>
          <w:sz w:val="24"/>
          <w:szCs w:val="24"/>
          <w:lang w:eastAsia="fr-FR"/>
        </w:rPr>
        <w:t>impôts &amp; cotisations</w:t>
      </w:r>
      <w:r w:rsidRPr="00FF27F5">
        <w:rPr>
          <w:rFonts w:ascii="Arial" w:eastAsia="Times New Roman" w:hAnsi="Arial" w:cs="Arial"/>
          <w:sz w:val="24"/>
          <w:szCs w:val="24"/>
          <w:lang w:eastAsia="fr-FR"/>
        </w:rPr>
        <w:t xml:space="preserve"> exigibles à cette date, ou s’être acquitté spontanément de ces impôts &amp; cotisations avant la date du lancement de la présente consultation ou avoir constitué spontanément avant cette date des garanties jugées suffisantes par le comptable ou l’organisme chargé du recouvrement ;</w:t>
      </w:r>
    </w:p>
    <w:p w14:paraId="3DBF693C" w14:textId="77777777" w:rsidR="00892936" w:rsidRPr="00FF27F5" w:rsidRDefault="00892936" w:rsidP="00892936">
      <w:pPr>
        <w:jc w:val="both"/>
        <w:rPr>
          <w:rFonts w:ascii="Arial" w:eastAsia="Times New Roman" w:hAnsi="Arial" w:cs="Arial"/>
          <w:sz w:val="24"/>
          <w:szCs w:val="24"/>
          <w:lang w:eastAsia="fr-FR"/>
        </w:rPr>
      </w:pPr>
    </w:p>
    <w:p w14:paraId="7334EA20" w14:textId="77777777" w:rsidR="00892936" w:rsidRPr="00FF27F5" w:rsidRDefault="00892936" w:rsidP="00892936">
      <w:pPr>
        <w:numPr>
          <w:ilvl w:val="0"/>
          <w:numId w:val="3"/>
        </w:numPr>
        <w:ind w:left="567" w:hanging="283"/>
        <w:contextualSpacing/>
        <w:jc w:val="both"/>
        <w:rPr>
          <w:rFonts w:ascii="Arial" w:eastAsia="Times New Roman" w:hAnsi="Arial" w:cs="Arial"/>
          <w:b/>
          <w:sz w:val="24"/>
          <w:szCs w:val="24"/>
          <w:u w:val="single"/>
          <w:lang w:eastAsia="fr-FR"/>
        </w:rPr>
      </w:pPr>
      <w:r w:rsidRPr="00FF27F5">
        <w:rPr>
          <w:rFonts w:ascii="Arial" w:eastAsia="Times New Roman" w:hAnsi="Arial" w:cs="Arial"/>
          <w:b/>
          <w:sz w:val="24"/>
          <w:szCs w:val="24"/>
          <w:u w:val="single"/>
          <w:lang w:eastAsia="fr-FR"/>
        </w:rPr>
        <w:t>Marché de défense et de sécurité</w:t>
      </w:r>
    </w:p>
    <w:p w14:paraId="5006CAD4"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 xml:space="preserve">ne pas avoir été sanctionné par la résiliation de son marché et ne pas avoir vu sa </w:t>
      </w:r>
      <w:r w:rsidRPr="00FF27F5">
        <w:rPr>
          <w:rFonts w:ascii="Arial" w:eastAsia="Times New Roman" w:hAnsi="Arial" w:cs="Arial"/>
          <w:bCs/>
          <w:color w:val="AA0000"/>
          <w:sz w:val="24"/>
          <w:szCs w:val="24"/>
          <w:lang w:eastAsia="fr-FR"/>
        </w:rPr>
        <w:t>responsabilité civile</w:t>
      </w:r>
      <w:r w:rsidRPr="00FF27F5">
        <w:rPr>
          <w:rFonts w:ascii="Arial" w:eastAsia="Times New Roman" w:hAnsi="Arial" w:cs="Arial"/>
          <w:sz w:val="24"/>
          <w:szCs w:val="24"/>
          <w:lang w:eastAsia="fr-FR"/>
        </w:rPr>
        <w:t xml:space="preserve"> engagée depuis moins de cinq ans, par une décision de justice définitive, pour méconnaissance de ses engagements en matière de sécurité d'approvisionnement ou de sécurité de l'information, ou avoir entièrement exécuté les décisions de justice éventuellement prononcées à son encontre et établir, par tout moyen, que son professionnalisme ne peut plus être remis en doute ;</w:t>
      </w:r>
    </w:p>
    <w:p w14:paraId="2FA014F0" w14:textId="77777777" w:rsidR="00892936" w:rsidRPr="00FF27F5" w:rsidRDefault="00892936" w:rsidP="00892936">
      <w:pPr>
        <w:numPr>
          <w:ilvl w:val="0"/>
          <w:numId w:val="1"/>
        </w:numPr>
        <w:ind w:left="851" w:hanging="284"/>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 xml:space="preserve">avoir la </w:t>
      </w:r>
      <w:r w:rsidRPr="00FF27F5">
        <w:rPr>
          <w:rFonts w:ascii="Arial" w:eastAsia="Times New Roman" w:hAnsi="Arial" w:cs="Arial"/>
          <w:bCs/>
          <w:color w:val="AA0000"/>
          <w:sz w:val="24"/>
          <w:szCs w:val="24"/>
          <w:lang w:eastAsia="fr-FR"/>
        </w:rPr>
        <w:t>fiabilité</w:t>
      </w:r>
      <w:r w:rsidRPr="00FF27F5">
        <w:rPr>
          <w:rFonts w:ascii="Arial" w:eastAsia="Times New Roman" w:hAnsi="Arial" w:cs="Arial"/>
          <w:sz w:val="24"/>
          <w:szCs w:val="24"/>
          <w:lang w:eastAsia="fr-FR"/>
        </w:rPr>
        <w:t xml:space="preserve"> nécessaire pour éviter des atteintes à la sécurité de l'État ;</w:t>
      </w:r>
    </w:p>
    <w:p w14:paraId="2B500093" w14:textId="77777777" w:rsidR="00892936" w:rsidRPr="00FF27F5" w:rsidRDefault="00892936" w:rsidP="00892936">
      <w:pPr>
        <w:jc w:val="both"/>
        <w:rPr>
          <w:rFonts w:ascii="Arial" w:eastAsia="Times New Roman" w:hAnsi="Arial" w:cs="Arial"/>
          <w:sz w:val="24"/>
          <w:szCs w:val="24"/>
          <w:lang w:eastAsia="fr-FR"/>
        </w:rPr>
      </w:pPr>
    </w:p>
    <w:p w14:paraId="3732C286" w14:textId="77777777" w:rsidR="00892936" w:rsidRPr="00FF27F5" w:rsidRDefault="00892936" w:rsidP="00892936">
      <w:pPr>
        <w:numPr>
          <w:ilvl w:val="0"/>
          <w:numId w:val="3"/>
        </w:numPr>
        <w:ind w:left="567" w:hanging="283"/>
        <w:contextualSpacing/>
        <w:jc w:val="both"/>
        <w:rPr>
          <w:rFonts w:ascii="Arial" w:eastAsia="Times New Roman" w:hAnsi="Arial" w:cs="Arial"/>
          <w:b/>
          <w:sz w:val="24"/>
          <w:szCs w:val="24"/>
          <w:u w:val="single"/>
          <w:lang w:eastAsia="fr-FR"/>
        </w:rPr>
      </w:pPr>
      <w:r w:rsidRPr="00FF27F5">
        <w:rPr>
          <w:rFonts w:ascii="Arial" w:eastAsia="Times New Roman" w:hAnsi="Arial" w:cs="Arial"/>
          <w:b/>
          <w:sz w:val="24"/>
          <w:szCs w:val="24"/>
          <w:u w:val="single"/>
          <w:lang w:eastAsia="fr-FR"/>
        </w:rPr>
        <w:t>Interdictions de soumissionner</w:t>
      </w:r>
    </w:p>
    <w:p w14:paraId="315D4E38" w14:textId="77777777" w:rsidR="00892936" w:rsidRPr="00FF27F5" w:rsidRDefault="00892936" w:rsidP="00892936">
      <w:pPr>
        <w:ind w:left="567"/>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n’entrer dans aucun des cas d’interdiction de soumissionner obligatoires prévus aux articles 45 et 48 de l’ordonnance n° 2015-899 du 23 juillet 2015 ou, pour les marchés publics de défense ou de sécurité, n’entrer dans aucun des cas d’interdiction de soumissionner obligatoires prévus aux articles 45 ,46 et 48 de l’ordonnance n° 2015-899 du 23 juillet 2015.</w:t>
      </w:r>
    </w:p>
    <w:p w14:paraId="638E9561" w14:textId="77777777" w:rsidR="00892936" w:rsidRPr="00FF27F5" w:rsidRDefault="00892936" w:rsidP="00892936">
      <w:pPr>
        <w:jc w:val="both"/>
        <w:rPr>
          <w:rFonts w:ascii="Arial" w:eastAsia="Times New Roman" w:hAnsi="Arial" w:cs="Arial"/>
          <w:sz w:val="24"/>
          <w:szCs w:val="24"/>
          <w:lang w:eastAsia="fr-FR"/>
        </w:rPr>
      </w:pPr>
    </w:p>
    <w:p w14:paraId="70059EAD" w14:textId="77777777" w:rsidR="00892936" w:rsidRPr="00FF27F5" w:rsidRDefault="00892936" w:rsidP="00892936">
      <w:pPr>
        <w:numPr>
          <w:ilvl w:val="0"/>
          <w:numId w:val="3"/>
        </w:numPr>
        <w:ind w:left="567" w:hanging="283"/>
        <w:contextualSpacing/>
        <w:jc w:val="both"/>
        <w:rPr>
          <w:rFonts w:ascii="Arial" w:eastAsia="Times New Roman" w:hAnsi="Arial" w:cs="Arial"/>
          <w:b/>
          <w:sz w:val="24"/>
          <w:szCs w:val="24"/>
          <w:u w:val="single"/>
          <w:lang w:eastAsia="fr-FR"/>
        </w:rPr>
      </w:pPr>
      <w:r w:rsidRPr="00FF27F5">
        <w:rPr>
          <w:rFonts w:ascii="Arial" w:eastAsia="Times New Roman" w:hAnsi="Arial" w:cs="Arial"/>
          <w:b/>
          <w:sz w:val="24"/>
          <w:szCs w:val="24"/>
          <w:u w:val="single"/>
          <w:lang w:eastAsia="fr-FR"/>
        </w:rPr>
        <w:t>Capacités</w:t>
      </w:r>
    </w:p>
    <w:p w14:paraId="22A53707" w14:textId="77777777" w:rsidR="00892936" w:rsidRPr="00FF27F5" w:rsidRDefault="00892936" w:rsidP="00892936">
      <w:pPr>
        <w:ind w:left="567"/>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présenter les capacités nécessaires à l’exécution du marché public ou de l’accord-cadre</w:t>
      </w:r>
    </w:p>
    <w:p w14:paraId="373CDBD7" w14:textId="77777777" w:rsidR="00892936" w:rsidRPr="00FF27F5" w:rsidRDefault="00892936" w:rsidP="00892936">
      <w:pPr>
        <w:jc w:val="both"/>
        <w:rPr>
          <w:rFonts w:ascii="Arial" w:eastAsia="Times New Roman" w:hAnsi="Arial" w:cs="Arial"/>
          <w:sz w:val="24"/>
          <w:szCs w:val="24"/>
          <w:lang w:eastAsia="fr-FR"/>
        </w:rPr>
      </w:pPr>
    </w:p>
    <w:p w14:paraId="34CA87D8" w14:textId="77777777" w:rsidR="00892936" w:rsidRPr="00FF27F5" w:rsidRDefault="00892936" w:rsidP="00892936">
      <w:pPr>
        <w:numPr>
          <w:ilvl w:val="0"/>
          <w:numId w:val="3"/>
        </w:numPr>
        <w:ind w:left="567" w:hanging="283"/>
        <w:contextualSpacing/>
        <w:jc w:val="both"/>
        <w:rPr>
          <w:rFonts w:ascii="Arial" w:eastAsia="Times New Roman" w:hAnsi="Arial" w:cs="Arial"/>
          <w:sz w:val="24"/>
          <w:szCs w:val="24"/>
          <w:lang w:eastAsia="fr-FR"/>
        </w:rPr>
      </w:pPr>
      <w:r w:rsidRPr="00FF27F5">
        <w:rPr>
          <w:rFonts w:ascii="Arial" w:eastAsia="Times New Roman" w:hAnsi="Arial" w:cs="Arial"/>
          <w:b/>
          <w:sz w:val="24"/>
          <w:szCs w:val="24"/>
          <w:u w:val="single"/>
          <w:lang w:eastAsia="fr-FR"/>
        </w:rPr>
        <w:t>Exactitude des renseignements</w:t>
      </w:r>
    </w:p>
    <w:p w14:paraId="58CA40E9" w14:textId="77777777" w:rsidR="00892936" w:rsidRPr="00FF27F5" w:rsidRDefault="00892936" w:rsidP="00892936">
      <w:pPr>
        <w:ind w:left="567"/>
        <w:contextualSpacing/>
        <w:jc w:val="both"/>
        <w:rPr>
          <w:rFonts w:ascii="Arial" w:eastAsia="Times New Roman" w:hAnsi="Arial" w:cs="Arial"/>
          <w:sz w:val="24"/>
          <w:szCs w:val="24"/>
          <w:lang w:eastAsia="fr-FR"/>
        </w:rPr>
      </w:pPr>
      <w:r w:rsidRPr="00FF27F5">
        <w:rPr>
          <w:rFonts w:ascii="Arial" w:eastAsia="Times New Roman" w:hAnsi="Arial" w:cs="Arial"/>
          <w:sz w:val="24"/>
          <w:szCs w:val="24"/>
          <w:lang w:eastAsia="fr-FR"/>
        </w:rPr>
        <w:t>les r</w:t>
      </w:r>
      <w:r w:rsidRPr="00FF27F5">
        <w:rPr>
          <w:rFonts w:ascii="Arial" w:eastAsia="Times New Roman" w:hAnsi="Arial" w:cs="Arial"/>
          <w:bCs/>
          <w:color w:val="AA0000"/>
          <w:sz w:val="24"/>
          <w:szCs w:val="24"/>
          <w:lang w:eastAsia="fr-FR"/>
        </w:rPr>
        <w:t>enseignements</w:t>
      </w:r>
      <w:r w:rsidRPr="00FF27F5">
        <w:rPr>
          <w:rFonts w:ascii="Arial" w:eastAsia="Times New Roman" w:hAnsi="Arial" w:cs="Arial"/>
          <w:sz w:val="24"/>
          <w:szCs w:val="24"/>
          <w:lang w:eastAsia="fr-FR"/>
        </w:rPr>
        <w:t xml:space="preserve"> fournis dans la présente déclaration sont </w:t>
      </w:r>
      <w:r w:rsidRPr="00FF27F5">
        <w:rPr>
          <w:rFonts w:ascii="Arial" w:eastAsia="Times New Roman" w:hAnsi="Arial" w:cs="Arial"/>
          <w:bCs/>
          <w:color w:val="AA0000"/>
          <w:sz w:val="24"/>
          <w:szCs w:val="24"/>
          <w:lang w:eastAsia="fr-FR"/>
        </w:rPr>
        <w:t>exacts</w:t>
      </w:r>
      <w:r w:rsidRPr="00FF27F5">
        <w:rPr>
          <w:rFonts w:ascii="Arial" w:eastAsia="Times New Roman" w:hAnsi="Arial" w:cs="Arial"/>
          <w:sz w:val="24"/>
          <w:szCs w:val="24"/>
          <w:lang w:eastAsia="fr-FR"/>
        </w:rPr>
        <w:t>.</w:t>
      </w:r>
    </w:p>
    <w:p w14:paraId="5A787C66" w14:textId="77777777" w:rsidR="00892936" w:rsidRPr="00FF27F5" w:rsidRDefault="00892936" w:rsidP="00892936">
      <w:pPr>
        <w:rPr>
          <w:rFonts w:ascii="Arial" w:hAnsi="Arial" w:cs="Arial"/>
          <w:sz w:val="24"/>
          <w:szCs w:val="24"/>
        </w:rPr>
      </w:pPr>
    </w:p>
    <w:p w14:paraId="5B493DA7" w14:textId="77777777" w:rsidR="00892936" w:rsidRPr="00FF27F5" w:rsidRDefault="00892936" w:rsidP="00892936">
      <w:pPr>
        <w:rPr>
          <w:rFonts w:ascii="Arial" w:hAnsi="Arial" w:cs="Arial"/>
          <w:sz w:val="24"/>
          <w:szCs w:val="24"/>
        </w:rPr>
      </w:pPr>
      <w:r w:rsidRPr="00FF27F5">
        <w:rPr>
          <w:rFonts w:ascii="Arial" w:hAnsi="Arial" w:cs="Arial"/>
          <w:sz w:val="24"/>
          <w:szCs w:val="24"/>
        </w:rPr>
        <w:t xml:space="preserve">Déclaration formulée le </w:t>
      </w:r>
      <w:r w:rsidRPr="00FF27F5">
        <w:rPr>
          <w:rFonts w:ascii="Arial" w:hAnsi="Arial" w:cs="Arial"/>
          <w:color w:val="AA0000"/>
          <w:sz w:val="24"/>
          <w:szCs w:val="24"/>
        </w:rPr>
        <w:t xml:space="preserve">____ </w:t>
      </w:r>
      <w:r w:rsidRPr="00FF27F5">
        <w:rPr>
          <w:rFonts w:ascii="Arial" w:hAnsi="Arial" w:cs="Arial"/>
          <w:sz w:val="24"/>
          <w:szCs w:val="24"/>
        </w:rPr>
        <w:t xml:space="preserve">/ </w:t>
      </w:r>
      <w:r w:rsidRPr="00FF27F5">
        <w:rPr>
          <w:rFonts w:ascii="Arial" w:hAnsi="Arial" w:cs="Arial"/>
          <w:color w:val="AA0000"/>
          <w:sz w:val="24"/>
          <w:szCs w:val="24"/>
        </w:rPr>
        <w:t>____</w:t>
      </w:r>
      <w:r w:rsidRPr="00FF27F5">
        <w:rPr>
          <w:rFonts w:ascii="Arial" w:hAnsi="Arial" w:cs="Arial"/>
          <w:sz w:val="24"/>
          <w:szCs w:val="24"/>
        </w:rPr>
        <w:t xml:space="preserve"> / </w:t>
      </w:r>
      <w:r w:rsidRPr="00FF27F5">
        <w:rPr>
          <w:rFonts w:ascii="Arial" w:hAnsi="Arial" w:cs="Arial"/>
          <w:color w:val="AA0000"/>
          <w:sz w:val="24"/>
          <w:szCs w:val="24"/>
        </w:rPr>
        <w:t>________</w:t>
      </w:r>
      <w:r w:rsidRPr="00FF27F5">
        <w:rPr>
          <w:rFonts w:ascii="Arial" w:hAnsi="Arial" w:cs="Arial"/>
          <w:sz w:val="24"/>
          <w:szCs w:val="24"/>
        </w:rPr>
        <w:t xml:space="preserve">, à </w:t>
      </w:r>
      <w:r w:rsidRPr="00FF27F5">
        <w:rPr>
          <w:rFonts w:ascii="Arial" w:hAnsi="Arial" w:cs="Arial"/>
          <w:color w:val="AA0000"/>
          <w:sz w:val="24"/>
          <w:szCs w:val="24"/>
        </w:rPr>
        <w:t>_________________________________________</w:t>
      </w:r>
    </w:p>
    <w:p w14:paraId="23CF1F63" w14:textId="77777777" w:rsidR="00892936" w:rsidRPr="00FF27F5" w:rsidRDefault="00892936" w:rsidP="00892936">
      <w:pPr>
        <w:jc w:val="both"/>
        <w:rPr>
          <w:rFonts w:ascii="Arial" w:eastAsia="Times New Roman" w:hAnsi="Arial" w:cs="Arial"/>
          <w:sz w:val="24"/>
          <w:szCs w:val="24"/>
          <w:lang w:eastAsia="fr-FR"/>
        </w:rPr>
      </w:pPr>
    </w:p>
    <w:p w14:paraId="5BF3EC22"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rPr>
          <w:rFonts w:ascii="Arial" w:hAnsi="Arial" w:cs="Arial"/>
          <w:sz w:val="24"/>
          <w:szCs w:val="24"/>
        </w:rPr>
      </w:pPr>
      <w:r w:rsidRPr="00FF27F5">
        <w:rPr>
          <w:rFonts w:ascii="Arial" w:hAnsi="Arial" w:cs="Arial"/>
          <w:sz w:val="24"/>
          <w:szCs w:val="24"/>
        </w:rPr>
        <w:t xml:space="preserve">Par </w:t>
      </w:r>
      <w:r w:rsidRPr="00FF27F5">
        <w:rPr>
          <w:rFonts w:ascii="Arial" w:hAnsi="Arial" w:cs="Arial"/>
          <w:i/>
          <w:sz w:val="24"/>
          <w:szCs w:val="24"/>
        </w:rPr>
        <w:t>(</w:t>
      </w:r>
      <w:r w:rsidRPr="00FF27F5">
        <w:rPr>
          <w:rFonts w:ascii="Arial" w:hAnsi="Arial" w:cs="Arial"/>
          <w:i/>
          <w:color w:val="AA0000"/>
          <w:sz w:val="24"/>
          <w:szCs w:val="24"/>
        </w:rPr>
        <w:t>Prénom, Nom, Fonctions, signature &amp; Cachet du candidat</w:t>
      </w:r>
      <w:r w:rsidRPr="00FF27F5">
        <w:rPr>
          <w:rFonts w:ascii="Arial" w:hAnsi="Arial" w:cs="Arial"/>
          <w:i/>
          <w:sz w:val="24"/>
          <w:szCs w:val="24"/>
        </w:rPr>
        <w:t>)</w:t>
      </w:r>
      <w:r w:rsidRPr="00FF27F5">
        <w:rPr>
          <w:rFonts w:ascii="Arial" w:eastAsia="Times New Roman" w:hAnsi="Arial" w:cs="Arial"/>
          <w:noProof/>
          <w:sz w:val="24"/>
          <w:szCs w:val="24"/>
          <w:lang w:eastAsia="fr-FR"/>
        </w:rPr>
        <w:t xml:space="preserve"> </w:t>
      </w:r>
    </w:p>
    <w:p w14:paraId="37B6C605"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jc w:val="both"/>
        <w:rPr>
          <w:rFonts w:ascii="Arial" w:hAnsi="Arial" w:cs="Arial"/>
          <w:sz w:val="24"/>
          <w:szCs w:val="24"/>
        </w:rPr>
      </w:pPr>
    </w:p>
    <w:p w14:paraId="79D77658"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jc w:val="both"/>
        <w:rPr>
          <w:rFonts w:ascii="Arial" w:hAnsi="Arial" w:cs="Arial"/>
          <w:sz w:val="24"/>
          <w:szCs w:val="24"/>
        </w:rPr>
      </w:pPr>
    </w:p>
    <w:p w14:paraId="59E40793"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jc w:val="both"/>
        <w:rPr>
          <w:rFonts w:ascii="Arial" w:hAnsi="Arial" w:cs="Arial"/>
          <w:sz w:val="24"/>
          <w:szCs w:val="24"/>
        </w:rPr>
      </w:pPr>
    </w:p>
    <w:p w14:paraId="1C038B1D"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jc w:val="both"/>
        <w:rPr>
          <w:rFonts w:ascii="Arial" w:hAnsi="Arial" w:cs="Arial"/>
          <w:sz w:val="24"/>
          <w:szCs w:val="24"/>
        </w:rPr>
      </w:pPr>
    </w:p>
    <w:p w14:paraId="4EFCA2EA"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jc w:val="both"/>
        <w:rPr>
          <w:rFonts w:ascii="Arial" w:hAnsi="Arial" w:cs="Arial"/>
          <w:sz w:val="24"/>
          <w:szCs w:val="24"/>
        </w:rPr>
      </w:pPr>
    </w:p>
    <w:p w14:paraId="4D02BA82"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jc w:val="both"/>
        <w:rPr>
          <w:rFonts w:ascii="Arial" w:hAnsi="Arial" w:cs="Arial"/>
          <w:sz w:val="24"/>
          <w:szCs w:val="24"/>
        </w:rPr>
      </w:pPr>
    </w:p>
    <w:p w14:paraId="7CB9DC59"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jc w:val="both"/>
        <w:rPr>
          <w:rFonts w:ascii="Arial" w:hAnsi="Arial" w:cs="Arial"/>
          <w:sz w:val="24"/>
          <w:szCs w:val="24"/>
        </w:rPr>
      </w:pPr>
    </w:p>
    <w:p w14:paraId="01473B58"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jc w:val="both"/>
        <w:rPr>
          <w:rFonts w:ascii="Arial" w:hAnsi="Arial" w:cs="Arial"/>
          <w:sz w:val="24"/>
          <w:szCs w:val="24"/>
        </w:rPr>
      </w:pPr>
    </w:p>
    <w:p w14:paraId="24BC5FEF"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jc w:val="both"/>
        <w:rPr>
          <w:rFonts w:ascii="Arial" w:hAnsi="Arial" w:cs="Arial"/>
          <w:sz w:val="24"/>
          <w:szCs w:val="24"/>
        </w:rPr>
      </w:pPr>
    </w:p>
    <w:p w14:paraId="69B919CE" w14:textId="77777777" w:rsidR="00892936" w:rsidRPr="00FF27F5" w:rsidRDefault="00892936" w:rsidP="00892936">
      <w:pPr>
        <w:pBdr>
          <w:top w:val="single" w:sz="4" w:space="1" w:color="C00000"/>
          <w:left w:val="single" w:sz="4" w:space="4" w:color="C00000"/>
          <w:bottom w:val="single" w:sz="4" w:space="1" w:color="C00000"/>
          <w:right w:val="single" w:sz="4" w:space="4" w:color="C00000"/>
        </w:pBdr>
        <w:rPr>
          <w:rFonts w:ascii="Arial" w:hAnsi="Arial" w:cs="Arial"/>
          <w:sz w:val="24"/>
          <w:szCs w:val="24"/>
        </w:rPr>
      </w:pPr>
    </w:p>
    <w:p w14:paraId="7D1FF233" w14:textId="77777777" w:rsidR="00892936" w:rsidRPr="00FF27F5" w:rsidRDefault="00892936" w:rsidP="00892936">
      <w:pPr>
        <w:rPr>
          <w:rFonts w:ascii="Arial" w:hAnsi="Arial" w:cs="Arial"/>
          <w:sz w:val="24"/>
          <w:szCs w:val="24"/>
        </w:rPr>
      </w:pPr>
    </w:p>
    <w:p w14:paraId="4D9B8883" w14:textId="77777777" w:rsidR="00C3186F" w:rsidRPr="00FF27F5" w:rsidRDefault="00EA718F">
      <w:pPr>
        <w:rPr>
          <w:rFonts w:ascii="Arial" w:hAnsi="Arial" w:cs="Arial"/>
        </w:rPr>
      </w:pPr>
    </w:p>
    <w:sectPr w:rsidR="00C3186F" w:rsidRPr="00FF27F5" w:rsidSect="0088707E">
      <w:footerReference w:type="default" r:id="rId7"/>
      <w:pgSz w:w="11906" w:h="16838"/>
      <w:pgMar w:top="709" w:right="849" w:bottom="567"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3DA370C" w14:textId="77777777" w:rsidR="0088707E" w:rsidRDefault="0088707E" w:rsidP="0088707E">
      <w:r>
        <w:separator/>
      </w:r>
    </w:p>
  </w:endnote>
  <w:endnote w:type="continuationSeparator" w:id="0">
    <w:p w14:paraId="0437A782" w14:textId="77777777" w:rsidR="0088707E" w:rsidRDefault="0088707E" w:rsidP="008870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D209C3" w14:textId="77777777" w:rsidR="00F94403" w:rsidRPr="000A60B0" w:rsidRDefault="0088707E" w:rsidP="000062AE">
    <w:pPr>
      <w:pStyle w:val="Pieddepage"/>
      <w:framePr w:wrap="around" w:vAnchor="text" w:hAnchor="margin" w:xAlign="right" w:y="1"/>
      <w:rPr>
        <w:rStyle w:val="Numrodepage"/>
        <w:rFonts w:asciiTheme="minorHAnsi" w:hAnsiTheme="minorHAnsi" w:cstheme="minorHAnsi"/>
        <w:sz w:val="18"/>
        <w:szCs w:val="18"/>
      </w:rPr>
    </w:pPr>
    <w:r w:rsidRPr="000A60B0">
      <w:rPr>
        <w:rStyle w:val="Numrodepage"/>
        <w:rFonts w:asciiTheme="minorHAnsi" w:hAnsiTheme="minorHAnsi" w:cstheme="minorHAnsi"/>
        <w:sz w:val="18"/>
        <w:szCs w:val="18"/>
      </w:rPr>
      <w:fldChar w:fldCharType="begin"/>
    </w:r>
    <w:r w:rsidRPr="000A60B0">
      <w:rPr>
        <w:rStyle w:val="Numrodepage"/>
        <w:rFonts w:asciiTheme="minorHAnsi" w:hAnsiTheme="minorHAnsi" w:cstheme="minorHAnsi"/>
        <w:sz w:val="18"/>
        <w:szCs w:val="18"/>
      </w:rPr>
      <w:instrText xml:space="preserve">PAGE  </w:instrText>
    </w:r>
    <w:r w:rsidRPr="000A60B0">
      <w:rPr>
        <w:rStyle w:val="Numrodepage"/>
        <w:rFonts w:asciiTheme="minorHAnsi" w:hAnsiTheme="minorHAnsi" w:cstheme="minorHAnsi"/>
        <w:sz w:val="18"/>
        <w:szCs w:val="18"/>
      </w:rPr>
      <w:fldChar w:fldCharType="separate"/>
    </w:r>
    <w:r>
      <w:rPr>
        <w:rStyle w:val="Numrodepage"/>
        <w:rFonts w:asciiTheme="minorHAnsi" w:hAnsiTheme="minorHAnsi" w:cstheme="minorHAnsi"/>
        <w:sz w:val="18"/>
        <w:szCs w:val="18"/>
      </w:rPr>
      <w:t>2</w:t>
    </w:r>
    <w:r w:rsidRPr="000A60B0">
      <w:rPr>
        <w:rStyle w:val="Numrodepage"/>
        <w:rFonts w:asciiTheme="minorHAnsi" w:hAnsiTheme="minorHAnsi" w:cstheme="minorHAnsi"/>
        <w:sz w:val="18"/>
        <w:szCs w:val="18"/>
      </w:rPr>
      <w:fldChar w:fldCharType="end"/>
    </w:r>
    <w:r w:rsidRPr="000A60B0">
      <w:rPr>
        <w:rStyle w:val="Numrodepage"/>
        <w:rFonts w:asciiTheme="minorHAnsi" w:hAnsiTheme="minorHAnsi" w:cstheme="minorHAnsi"/>
        <w:sz w:val="18"/>
        <w:szCs w:val="18"/>
      </w:rPr>
      <w:t>/</w:t>
    </w:r>
    <w:r w:rsidRPr="000A60B0">
      <w:rPr>
        <w:rStyle w:val="Numrodepage"/>
        <w:rFonts w:asciiTheme="minorHAnsi" w:hAnsiTheme="minorHAnsi" w:cstheme="minorHAnsi"/>
        <w:sz w:val="18"/>
        <w:szCs w:val="18"/>
      </w:rPr>
      <w:fldChar w:fldCharType="begin"/>
    </w:r>
    <w:r w:rsidRPr="000A60B0">
      <w:rPr>
        <w:rStyle w:val="Numrodepage"/>
        <w:rFonts w:asciiTheme="minorHAnsi" w:hAnsiTheme="minorHAnsi" w:cstheme="minorHAnsi"/>
        <w:sz w:val="18"/>
        <w:szCs w:val="18"/>
      </w:rPr>
      <w:instrText xml:space="preserve"> NUMPAGES </w:instrText>
    </w:r>
    <w:r w:rsidRPr="000A60B0">
      <w:rPr>
        <w:rStyle w:val="Numrodepage"/>
        <w:rFonts w:asciiTheme="minorHAnsi" w:hAnsiTheme="minorHAnsi" w:cstheme="minorHAnsi"/>
        <w:sz w:val="18"/>
        <w:szCs w:val="18"/>
      </w:rPr>
      <w:fldChar w:fldCharType="separate"/>
    </w:r>
    <w:r>
      <w:rPr>
        <w:rStyle w:val="Numrodepage"/>
        <w:rFonts w:asciiTheme="minorHAnsi" w:hAnsiTheme="minorHAnsi" w:cstheme="minorHAnsi"/>
        <w:sz w:val="18"/>
        <w:szCs w:val="18"/>
      </w:rPr>
      <w:t>37</w:t>
    </w:r>
    <w:r w:rsidRPr="000A60B0">
      <w:rPr>
        <w:rStyle w:val="Numrodepage"/>
        <w:rFonts w:asciiTheme="minorHAnsi" w:hAnsiTheme="minorHAnsi" w:cstheme="minorHAnsi"/>
        <w:sz w:val="18"/>
        <w:szCs w:val="18"/>
      </w:rPr>
      <w:fldChar w:fldCharType="end"/>
    </w:r>
  </w:p>
  <w:p w14:paraId="26CD5967" w14:textId="5B2F7BD7" w:rsidR="00F94403" w:rsidRPr="00DC0DB9" w:rsidRDefault="0088707E" w:rsidP="000062AE">
    <w:pPr>
      <w:pStyle w:val="Pieddepage"/>
      <w:tabs>
        <w:tab w:val="clear" w:pos="9072"/>
        <w:tab w:val="left" w:pos="9639"/>
      </w:tabs>
      <w:ind w:right="707"/>
      <w:rPr>
        <w:rFonts w:asciiTheme="minorHAnsi" w:hAnsiTheme="minorHAnsi" w:cstheme="minorHAnsi"/>
        <w:sz w:val="18"/>
        <w:szCs w:val="18"/>
      </w:rPr>
    </w:pPr>
    <w:r w:rsidRPr="00665B97">
      <w:rPr>
        <w:rFonts w:asciiTheme="minorHAnsi" w:hAnsiTheme="minorHAnsi" w:cstheme="minorHAnsi"/>
        <w:sz w:val="18"/>
        <w:szCs w:val="18"/>
      </w:rPr>
      <w:t>ANNEXES à l’AE</w:t>
    </w:r>
    <w:r w:rsidR="00FF27F5" w:rsidRPr="00665B97">
      <w:rPr>
        <w:rFonts w:asciiTheme="minorHAnsi" w:hAnsiTheme="minorHAnsi" w:cstheme="minorHAnsi"/>
        <w:sz w:val="18"/>
        <w:szCs w:val="18"/>
      </w:rPr>
      <w:t xml:space="preserve"> de l’Accord-cadre</w:t>
    </w:r>
    <w:r w:rsidR="00DA13B1" w:rsidRPr="00665B97">
      <w:rPr>
        <w:rFonts w:asciiTheme="minorHAnsi" w:hAnsiTheme="minorHAnsi" w:cstheme="minorHAnsi"/>
        <w:sz w:val="18"/>
        <w:szCs w:val="18"/>
      </w:rPr>
      <w:t xml:space="preserve"> </w:t>
    </w:r>
    <w:r w:rsidR="00DA13B1" w:rsidRPr="00EA718F">
      <w:rPr>
        <w:rFonts w:cs="Arial"/>
        <w:b/>
      </w:rPr>
      <w:t>AOO.</w:t>
    </w:r>
    <w:r w:rsidR="00665B97" w:rsidRPr="00EA718F">
      <w:rPr>
        <w:rFonts w:cs="Arial"/>
        <w:b/>
      </w:rPr>
      <w:t>10-</w:t>
    </w:r>
    <w:r w:rsidR="00DA13B1" w:rsidRPr="00EA718F">
      <w:rPr>
        <w:rFonts w:cs="Arial"/>
        <w:b/>
      </w:rPr>
      <w:t>2025</w:t>
    </w:r>
    <w:r>
      <w:rPr>
        <w:rFonts w:asciiTheme="minorHAnsi" w:hAnsiTheme="minorHAnsi" w:cstheme="minorHAnsi"/>
        <w:sz w:val="18"/>
        <w:szCs w:val="18"/>
      </w:rPr>
      <w:tab/>
    </w:r>
    <w:r>
      <w:rPr>
        <w:rFonts w:asciiTheme="minorHAnsi" w:hAnsiTheme="minorHAnsi" w:cstheme="minorHAnsi"/>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3ED07A" w14:textId="77777777" w:rsidR="0088707E" w:rsidRDefault="0088707E" w:rsidP="0088707E">
      <w:r>
        <w:separator/>
      </w:r>
    </w:p>
  </w:footnote>
  <w:footnote w:type="continuationSeparator" w:id="0">
    <w:p w14:paraId="053EE3E0" w14:textId="77777777" w:rsidR="0088707E" w:rsidRDefault="0088707E" w:rsidP="008870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425442"/>
    <w:multiLevelType w:val="hybridMultilevel"/>
    <w:tmpl w:val="7BA4D5DC"/>
    <w:lvl w:ilvl="0" w:tplc="04742686">
      <w:start w:val="1"/>
      <w:numFmt w:val="bullet"/>
      <w:lvlText w:val=""/>
      <w:lvlJc w:val="left"/>
      <w:pPr>
        <w:ind w:left="1004" w:hanging="360"/>
      </w:pPr>
      <w:rPr>
        <w:rFonts w:ascii="Wingdings" w:hAnsi="Wingdings" w:hint="default"/>
        <w:color w:val="AA0000"/>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1" w15:restartNumberingAfterBreak="0">
    <w:nsid w:val="1C940971"/>
    <w:multiLevelType w:val="hybridMultilevel"/>
    <w:tmpl w:val="AAB21DB6"/>
    <w:lvl w:ilvl="0" w:tplc="EC3E9F60">
      <w:start w:val="1"/>
      <w:numFmt w:val="bullet"/>
      <w:lvlText w:val="è"/>
      <w:lvlJc w:val="left"/>
      <w:pPr>
        <w:ind w:left="720" w:hanging="360"/>
      </w:pPr>
      <w:rPr>
        <w:rFonts w:ascii="Wingdings" w:hAnsi="Wingdings" w:hint="default"/>
        <w:color w:val="AA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F147AAB"/>
    <w:multiLevelType w:val="hybridMultilevel"/>
    <w:tmpl w:val="A3DA82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0234175"/>
    <w:multiLevelType w:val="hybridMultilevel"/>
    <w:tmpl w:val="E3560862"/>
    <w:lvl w:ilvl="0" w:tplc="C10C7C08">
      <w:start w:val="1"/>
      <w:numFmt w:val="bullet"/>
      <w:lvlText w:val=""/>
      <w:lvlJc w:val="left"/>
      <w:pPr>
        <w:ind w:left="720" w:hanging="360"/>
      </w:pPr>
      <w:rPr>
        <w:rFonts w:ascii="Wingdings" w:hAnsi="Wingdings" w:hint="default"/>
        <w:color w:val="AA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93A6D9F"/>
    <w:multiLevelType w:val="hybridMultilevel"/>
    <w:tmpl w:val="9676A93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936"/>
    <w:rsid w:val="00167D66"/>
    <w:rsid w:val="001A29CA"/>
    <w:rsid w:val="00223A79"/>
    <w:rsid w:val="002A41D6"/>
    <w:rsid w:val="00665B97"/>
    <w:rsid w:val="0088707E"/>
    <w:rsid w:val="00892936"/>
    <w:rsid w:val="00D03E33"/>
    <w:rsid w:val="00DA13B1"/>
    <w:rsid w:val="00EA718F"/>
    <w:rsid w:val="00FF27F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33F3E"/>
  <w15:chartTrackingRefBased/>
  <w15:docId w15:val="{8FE7F0DC-ACC9-4409-9BFD-1943BADC82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2936"/>
    <w:pPr>
      <w:spacing w:after="0" w:line="240" w:lineRule="auto"/>
    </w:pPr>
    <w:rPr>
      <w:rFonts w:ascii="Century Gothic" w:hAnsi="Century Gothic"/>
      <w:sz w:val="20"/>
      <w:szCs w:val="20"/>
    </w:rPr>
  </w:style>
  <w:style w:type="paragraph" w:styleId="Titre1">
    <w:name w:val="heading 1"/>
    <w:basedOn w:val="Normal"/>
    <w:next w:val="Normal"/>
    <w:link w:val="Titre1Car"/>
    <w:uiPriority w:val="9"/>
    <w:qFormat/>
    <w:rsid w:val="00892936"/>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nhideWhenUsed/>
    <w:rsid w:val="00892936"/>
    <w:pPr>
      <w:tabs>
        <w:tab w:val="center" w:pos="4536"/>
        <w:tab w:val="right" w:pos="9072"/>
      </w:tabs>
    </w:pPr>
  </w:style>
  <w:style w:type="character" w:customStyle="1" w:styleId="PieddepageCar">
    <w:name w:val="Pied de page Car"/>
    <w:basedOn w:val="Policepardfaut"/>
    <w:link w:val="Pieddepage"/>
    <w:rsid w:val="00892936"/>
    <w:rPr>
      <w:rFonts w:ascii="Century Gothic" w:hAnsi="Century Gothic"/>
      <w:sz w:val="20"/>
      <w:szCs w:val="20"/>
    </w:rPr>
  </w:style>
  <w:style w:type="paragraph" w:styleId="Paragraphedeliste">
    <w:name w:val="List Paragraph"/>
    <w:basedOn w:val="Normal"/>
    <w:uiPriority w:val="34"/>
    <w:qFormat/>
    <w:rsid w:val="00892936"/>
    <w:pPr>
      <w:ind w:left="720"/>
      <w:contextualSpacing/>
    </w:pPr>
  </w:style>
  <w:style w:type="character" w:styleId="Numrodepage">
    <w:name w:val="page number"/>
    <w:basedOn w:val="Policepardfaut"/>
    <w:rsid w:val="00892936"/>
  </w:style>
  <w:style w:type="character" w:customStyle="1" w:styleId="Titre1Car">
    <w:name w:val="Titre 1 Car"/>
    <w:basedOn w:val="Policepardfaut"/>
    <w:link w:val="Titre1"/>
    <w:uiPriority w:val="9"/>
    <w:rsid w:val="00892936"/>
    <w:rPr>
      <w:rFonts w:asciiTheme="majorHAnsi" w:eastAsiaTheme="majorEastAsia" w:hAnsiTheme="majorHAnsi" w:cstheme="majorBidi"/>
      <w:color w:val="2F5496" w:themeColor="accent1" w:themeShade="BF"/>
      <w:sz w:val="32"/>
      <w:szCs w:val="32"/>
    </w:rPr>
  </w:style>
  <w:style w:type="paragraph" w:styleId="En-tte">
    <w:name w:val="header"/>
    <w:basedOn w:val="Normal"/>
    <w:link w:val="En-tteCar"/>
    <w:uiPriority w:val="99"/>
    <w:unhideWhenUsed/>
    <w:rsid w:val="0088707E"/>
    <w:pPr>
      <w:tabs>
        <w:tab w:val="center" w:pos="4536"/>
        <w:tab w:val="right" w:pos="9072"/>
      </w:tabs>
    </w:pPr>
  </w:style>
  <w:style w:type="character" w:customStyle="1" w:styleId="En-tteCar">
    <w:name w:val="En-tête Car"/>
    <w:basedOn w:val="Policepardfaut"/>
    <w:link w:val="En-tte"/>
    <w:uiPriority w:val="99"/>
    <w:rsid w:val="0088707E"/>
    <w:rPr>
      <w:rFonts w:ascii="Century Gothic" w:hAnsi="Century Gothic"/>
      <w:sz w:val="20"/>
      <w:szCs w:val="20"/>
    </w:rPr>
  </w:style>
  <w:style w:type="character" w:styleId="Marquedecommentaire">
    <w:name w:val="annotation reference"/>
    <w:basedOn w:val="Policepardfaut"/>
    <w:uiPriority w:val="99"/>
    <w:semiHidden/>
    <w:unhideWhenUsed/>
    <w:rsid w:val="001A29CA"/>
    <w:rPr>
      <w:sz w:val="16"/>
      <w:szCs w:val="16"/>
    </w:rPr>
  </w:style>
  <w:style w:type="paragraph" w:styleId="Commentaire">
    <w:name w:val="annotation text"/>
    <w:basedOn w:val="Normal"/>
    <w:link w:val="CommentaireCar"/>
    <w:uiPriority w:val="99"/>
    <w:semiHidden/>
    <w:unhideWhenUsed/>
    <w:rsid w:val="001A29CA"/>
  </w:style>
  <w:style w:type="character" w:customStyle="1" w:styleId="CommentaireCar">
    <w:name w:val="Commentaire Car"/>
    <w:basedOn w:val="Policepardfaut"/>
    <w:link w:val="Commentaire"/>
    <w:uiPriority w:val="99"/>
    <w:semiHidden/>
    <w:rsid w:val="001A29CA"/>
    <w:rPr>
      <w:rFonts w:ascii="Century Gothic" w:hAnsi="Century Gothic"/>
      <w:sz w:val="20"/>
      <w:szCs w:val="20"/>
    </w:rPr>
  </w:style>
  <w:style w:type="paragraph" w:styleId="Objetducommentaire">
    <w:name w:val="annotation subject"/>
    <w:basedOn w:val="Commentaire"/>
    <w:next w:val="Commentaire"/>
    <w:link w:val="ObjetducommentaireCar"/>
    <w:uiPriority w:val="99"/>
    <w:semiHidden/>
    <w:unhideWhenUsed/>
    <w:rsid w:val="001A29CA"/>
    <w:rPr>
      <w:b/>
      <w:bCs/>
    </w:rPr>
  </w:style>
  <w:style w:type="character" w:customStyle="1" w:styleId="ObjetducommentaireCar">
    <w:name w:val="Objet du commentaire Car"/>
    <w:basedOn w:val="CommentaireCar"/>
    <w:link w:val="Objetducommentaire"/>
    <w:uiPriority w:val="99"/>
    <w:semiHidden/>
    <w:rsid w:val="001A29CA"/>
    <w:rPr>
      <w:rFonts w:ascii="Century Gothic" w:hAnsi="Century Gothic"/>
      <w:b/>
      <w:bCs/>
      <w:sz w:val="20"/>
      <w:szCs w:val="20"/>
    </w:rPr>
  </w:style>
  <w:style w:type="paragraph" w:styleId="Textedebulles">
    <w:name w:val="Balloon Text"/>
    <w:basedOn w:val="Normal"/>
    <w:link w:val="TextedebullesCar"/>
    <w:uiPriority w:val="99"/>
    <w:semiHidden/>
    <w:unhideWhenUsed/>
    <w:rsid w:val="001A29CA"/>
    <w:rPr>
      <w:rFonts w:ascii="Segoe UI" w:hAnsi="Segoe UI" w:cs="Segoe UI"/>
      <w:sz w:val="18"/>
      <w:szCs w:val="18"/>
    </w:rPr>
  </w:style>
  <w:style w:type="character" w:customStyle="1" w:styleId="TextedebullesCar">
    <w:name w:val="Texte de bulles Car"/>
    <w:basedOn w:val="Policepardfaut"/>
    <w:link w:val="Textedebulles"/>
    <w:uiPriority w:val="99"/>
    <w:semiHidden/>
    <w:rsid w:val="001A29C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3</Pages>
  <Words>1256</Words>
  <Characters>6914</Characters>
  <Application>Microsoft Office Word</Application>
  <DocSecurity>0</DocSecurity>
  <Lines>57</Lines>
  <Paragraphs>16</Paragraphs>
  <ScaleCrop>false</ScaleCrop>
  <Company/>
  <LinksUpToDate>false</LinksUpToDate>
  <CharactersWithSpaces>8154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 Bodin</dc:creator>
  <cp:keywords/>
  <dc:description/>
  <cp:lastModifiedBy>Claire Bodin</cp:lastModifiedBy>
  <cp:revision>9</cp:revision>
  <dcterms:created xsi:type="dcterms:W3CDTF">2022-07-07T16:53:00Z</dcterms:created>
  <dcterms:modified xsi:type="dcterms:W3CDTF">2025-06-27T13:23:00Z</dcterms:modified>
</cp:coreProperties>
</file>